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C2AF" w14:textId="33BB5420" w:rsidR="00D41F68" w:rsidRPr="00B033AF" w:rsidRDefault="00821C4C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9711B6" wp14:editId="0B0FFE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66975" cy="47237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0F2A8B3E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6E2C90E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3EC0D84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F03829" w:rsidRPr="00D73A7E" w14:paraId="32FF028A" w14:textId="77777777" w:rsidTr="008A5852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0735B8CB" w14:textId="58D24B4F"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2</w:t>
            </w:r>
            <w:r w:rsidR="0026474F">
              <w:rPr>
                <w:rFonts w:ascii="Calibri" w:hAnsi="Calibri" w:cs="Arial"/>
                <w:b/>
                <w:color w:val="auto"/>
                <w:szCs w:val="24"/>
              </w:rPr>
              <w:t>1</w:t>
            </w:r>
            <w:r w:rsidR="00821C4C">
              <w:rPr>
                <w:rFonts w:ascii="Calibri" w:hAnsi="Calibri" w:cs="Arial"/>
                <w:b/>
                <w:color w:val="auto"/>
                <w:szCs w:val="24"/>
              </w:rPr>
              <w:t>-22</w:t>
            </w:r>
            <w:bookmarkStart w:id="0" w:name="_GoBack"/>
            <w:bookmarkEnd w:id="0"/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(CC_IT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-N)</w:t>
            </w:r>
          </w:p>
        </w:tc>
      </w:tr>
      <w:tr w:rsidR="00F03829" w:rsidRPr="00D73A7E" w14:paraId="684AE654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C1123D9" w14:textId="77777777" w:rsidR="00F03829" w:rsidRPr="009113C1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99331E" w14:textId="77777777"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F03829" w:rsidRPr="00D73A7E" w14:paraId="4571D42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C731BF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70427A7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8A5852" w:rsidRPr="00D73A7E" w14:paraId="593F7F4B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AE40B79" w14:textId="77777777" w:rsidR="008A5852" w:rsidRPr="008A5852" w:rsidRDefault="008A5852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A5852">
              <w:rPr>
                <w:rFonts w:ascii="Calibri" w:hAnsi="Calibri" w:cs="Arial"/>
                <w:b/>
                <w:bCs/>
                <w:color w:val="auto"/>
                <w:sz w:val="20"/>
              </w:rPr>
              <w:t>Funding Type: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998E2BE" w14:textId="77777777" w:rsidR="008A5852" w:rsidRPr="008937E2" w:rsidRDefault="008A5852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2F315DF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74034C2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3D8CF07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5F86300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229AEEC5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CC6BE7B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14:paraId="6343F1B1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ED50FD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048C89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055E1479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409BECEA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DCB024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1E30304D" w14:textId="77777777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05440CB3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14:paraId="1EA7DEFC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2922269D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7276AF95" w14:textId="77777777" w:rsidTr="008A5852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39B9B697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249E96A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30719D3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Hardware</w:t>
            </w:r>
          </w:p>
        </w:tc>
      </w:tr>
      <w:tr w:rsidR="00F03829" w:rsidRPr="00D73A7E" w14:paraId="418957C1" w14:textId="77777777" w:rsidTr="008A5852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E3AD1C0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418D9ED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7114AEF8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Software</w:t>
            </w:r>
          </w:p>
        </w:tc>
      </w:tr>
      <w:tr w:rsidR="00F03829" w:rsidRPr="00D73A7E" w14:paraId="56062FDC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CF86419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024FCE1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</w:tr>
      <w:tr w:rsidR="00F03829" w:rsidRPr="00D73A7E" w14:paraId="025296D8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666E8F5" w14:textId="77777777"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7503D744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2F664ADC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F03829" w:rsidRPr="00D73A7E" w14:paraId="52E33F25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571836F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ECBFE2F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3F7E78FE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2FA41C2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5B9AF15" w14:textId="77777777"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14:paraId="6DA15313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1F4833C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4C5B8244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8F61D1" w:rsidRPr="00D73A7E" w14:paraId="7A45F1A6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0FD0114" w14:textId="77777777" w:rsidR="008F61D1" w:rsidRPr="008937E2" w:rsidRDefault="008F61D1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OSPB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F3BCC" w14:textId="77777777" w:rsidR="008F61D1" w:rsidRPr="008937E2" w:rsidRDefault="008F61D1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03829" w:rsidRPr="00D73A7E" w14:paraId="0E3727A9" w14:textId="77777777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685466C3" w14:textId="77777777"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8F7319E" w14:textId="77777777"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74F926C7" w14:textId="77777777" w:rsidR="003D21EE" w:rsidRDefault="003D21EE" w:rsidP="00F715BF">
      <w:pPr>
        <w:jc w:val="both"/>
        <w:rPr>
          <w:rFonts w:asciiTheme="minorHAnsi" w:hAnsiTheme="minorHAnsi" w:cs="Arial"/>
        </w:rPr>
      </w:pPr>
    </w:p>
    <w:p w14:paraId="15519CD4" w14:textId="77777777"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F03829">
        <w:rPr>
          <w:rFonts w:asciiTheme="minorHAnsi" w:hAnsiTheme="minorHAnsi" w:cs="Arial"/>
          <w:b/>
          <w:u w:val="single"/>
        </w:rPr>
        <w:t>/STATUS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14:paraId="76FA204B" w14:textId="77777777"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14:paraId="74B5CEAF" w14:textId="77777777" w:rsidR="003D21E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7DC71013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u w:val="single"/>
        </w:rPr>
        <w:t>B. SUMMARY OF PROJECT FUNDING REQUEST:</w:t>
      </w:r>
    </w:p>
    <w:p w14:paraId="58C09685" w14:textId="77777777"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96"/>
        <w:gridCol w:w="1440"/>
        <w:gridCol w:w="1296"/>
        <w:gridCol w:w="1152"/>
        <w:gridCol w:w="1152"/>
        <w:gridCol w:w="1152"/>
        <w:gridCol w:w="1152"/>
      </w:tblGrid>
      <w:tr w:rsidR="00BC6DD8" w:rsidRPr="000A4689" w14:paraId="62DBEDCD" w14:textId="77777777" w:rsidTr="008A5852">
        <w:trPr>
          <w:trHeight w:val="5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F2F2" w:fill="F2F2F2"/>
            <w:vAlign w:val="center"/>
            <w:hideMark/>
          </w:tcPr>
          <w:p w14:paraId="6F5B62A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Funding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Source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1FE38D1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Project Cost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77A758E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Prior Appropriation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6A09A72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Current Budget Year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0F5F3182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Two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51FAF8A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Three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14:paraId="24211F5E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Four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14:paraId="25BD1BB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Five Request</w:t>
            </w:r>
          </w:p>
        </w:tc>
      </w:tr>
      <w:tr w:rsidR="00BC6DD8" w:rsidRPr="000A4689" w14:paraId="707A3AB2" w14:textId="77777777" w:rsidTr="008A585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A3EBA8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Capital Constr</w:t>
            </w:r>
            <w:r>
              <w:rPr>
                <w:rFonts w:ascii="Calibri" w:hAnsi="Calibri" w:cs="Calibri"/>
                <w:color w:val="auto"/>
                <w:sz w:val="20"/>
              </w:rPr>
              <w:t>uction</w:t>
            </w: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Funds (CCF)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386737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09167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B0AD5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622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5C1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22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600A5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22729C2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C2A9F40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Cash Funds (CF)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2A2C12F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A130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949A41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EBE81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1D5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4D76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828DB5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018CF090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21DD42F6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Reappropriated Funds (RF)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405E9316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D83E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FA8870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1281F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D1BA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DEC2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03883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49828BA7" w14:textId="77777777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14:paraId="16F5644F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Federal Funds (FF)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14:paraId="5F15F3A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23C67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442A03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92D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8B69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5FE0E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BC040CB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14:paraId="3EA8516D" w14:textId="77777777" w:rsidTr="0090392B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3472B1" w14:textId="77777777"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Funds (TF)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720AECA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BDE67F4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E46DD0C" w14:textId="77777777"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F9AF44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69AC068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9D4237C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A620D63" w14:textId="77777777"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</w:tr>
    </w:tbl>
    <w:p w14:paraId="5A48A0DB" w14:textId="77777777" w:rsidR="00BC6DD8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F4FDEBB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2620785D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6B645C0" w14:textId="77777777"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599EB8E8" w14:textId="77777777" w:rsidR="00077F3B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lastRenderedPageBreak/>
        <w:t>C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 w:rsidR="00B033AF">
        <w:rPr>
          <w:rFonts w:asciiTheme="minorHAnsi" w:hAnsiTheme="minorHAnsi" w:cs="Arial"/>
          <w:b/>
          <w:color w:val="auto"/>
          <w:u w:val="single"/>
        </w:rPr>
        <w:t>DESCRIPTION</w:t>
      </w:r>
      <w:r w:rsidR="00F03829">
        <w:rPr>
          <w:rFonts w:asciiTheme="minorHAnsi" w:hAnsiTheme="minorHAnsi" w:cs="Arial"/>
          <w:b/>
          <w:color w:val="auto"/>
          <w:u w:val="single"/>
        </w:rPr>
        <w:t>/SCOPE OF WORK/JUSTIFICATION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3928742C" w14:textId="77777777" w:rsidR="00F03829" w:rsidRPr="00B033AF" w:rsidRDefault="00F03829" w:rsidP="00F03829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detailed description </w:t>
      </w:r>
      <w:r w:rsidR="0090392B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>the project, phases, funding and any other information relevant to the project.</w:t>
      </w:r>
      <w:r w:rsidR="00BC6DD8" w:rsidRPr="00BC6DD8">
        <w:rPr>
          <w:rFonts w:asciiTheme="minorHAnsi" w:hAnsiTheme="minorHAnsi" w:cs="Arial"/>
          <w:i/>
        </w:rPr>
        <w:t xml:space="preserve"> </w:t>
      </w:r>
      <w:r w:rsidR="002E0A67">
        <w:rPr>
          <w:rFonts w:asciiTheme="minorHAnsi" w:hAnsiTheme="minorHAnsi" w:cs="Arial"/>
          <w:i/>
        </w:rPr>
        <w:t xml:space="preserve">Include information on best practices. Describe how the project fits in with the Higher Education Master Plan goals. </w:t>
      </w:r>
    </w:p>
    <w:p w14:paraId="5FFD984B" w14:textId="77777777"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14:paraId="1EC86D0F" w14:textId="77777777" w:rsidR="00E11CB7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0A0C9CF0" w14:textId="77777777" w:rsidR="00A43279" w:rsidRDefault="00F03829" w:rsidP="0092129C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programs within the institution that will be impacted by this request. </w:t>
      </w:r>
    </w:p>
    <w:p w14:paraId="20ED576A" w14:textId="77777777" w:rsidR="0092129C" w:rsidRDefault="0092129C" w:rsidP="0092129C">
      <w:pPr>
        <w:ind w:left="360"/>
        <w:jc w:val="both"/>
        <w:rPr>
          <w:rFonts w:asciiTheme="minorHAnsi" w:hAnsiTheme="minorHAnsi" w:cs="Arial"/>
          <w:b/>
          <w:u w:val="single"/>
        </w:rPr>
      </w:pPr>
    </w:p>
    <w:p w14:paraId="4C3F4823" w14:textId="77777777" w:rsidR="001B3505" w:rsidRDefault="006208A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14:paraId="32BF3D42" w14:textId="77777777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6D9DDEF2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5C7EDF2D" w14:textId="77777777" w:rsidR="00ED4396" w:rsidRDefault="008308D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0A44A588" w14:textId="77777777"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1F1BD4">
        <w:rPr>
          <w:rFonts w:asciiTheme="minorHAnsi" w:hAnsiTheme="minorHAnsi" w:cs="Arial"/>
          <w:i/>
        </w:rPr>
        <w:t>Include inflation assumptions.</w:t>
      </w:r>
      <w:r w:rsidRPr="00C91237">
        <w:rPr>
          <w:rFonts w:asciiTheme="minorHAnsi" w:hAnsiTheme="minorHAnsi" w:cs="Arial"/>
          <w:i/>
        </w:rPr>
        <w:t xml:space="preserve"> See instructions for further detail.</w:t>
      </w:r>
    </w:p>
    <w:p w14:paraId="068F0044" w14:textId="77777777" w:rsidR="00381C2F" w:rsidRPr="00381C2F" w:rsidRDefault="00381C2F" w:rsidP="006208A8">
      <w:pPr>
        <w:tabs>
          <w:tab w:val="left" w:pos="3600"/>
        </w:tabs>
        <w:jc w:val="both"/>
        <w:rPr>
          <w:rFonts w:asciiTheme="minorHAnsi" w:hAnsiTheme="minorHAnsi"/>
          <w:i/>
        </w:rPr>
      </w:pPr>
    </w:p>
    <w:p w14:paraId="3709EA79" w14:textId="77777777" w:rsidR="00ED4396" w:rsidRDefault="003B5567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</w:t>
      </w:r>
      <w:r w:rsidR="00D810FB" w:rsidRPr="00D810FB">
        <w:rPr>
          <w:rFonts w:asciiTheme="minorHAnsi" w:hAnsiTheme="minorHAnsi"/>
          <w:b/>
          <w:u w:val="single"/>
        </w:rPr>
        <w:t>. OPERATING BUDGET IMPACT:</w:t>
      </w:r>
    </w:p>
    <w:p w14:paraId="1274FF86" w14:textId="77777777"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14:paraId="2D7B69CF" w14:textId="77777777" w:rsidR="00BC6DD8" w:rsidRPr="006F134C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p w14:paraId="7296F187" w14:textId="77777777" w:rsidR="00BD6DE0" w:rsidRDefault="003B5567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H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3BCC540" w14:textId="77777777" w:rsidR="00BC6DD8" w:rsidRDefault="00BC6DD8" w:rsidP="00BC6DD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 Add or delete boxes as required for each phase. See instructions for further detail.</w:t>
      </w:r>
    </w:p>
    <w:p w14:paraId="1BE7EFCF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66A7FE70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79D96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F953E9C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B8FCC9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072B763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5D9032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0159C6C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C2CA10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CEE449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29632986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C3CB1BA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F7B015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242A3A93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BCAF9B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4DC15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A3F945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08DF94A0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315EE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7B582C3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0A65A3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99EBF55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4556ACA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5BEE69E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46108E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A1F1C09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5C24D51E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35E5B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28C7C82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55C2F4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3873DD8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C10CED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BDCF4D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66AA906F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A061098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50071AED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BA0D27C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3B7B77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47EBDBE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5B7722F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59A43C2E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A59904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24B367C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3E61437B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34668F7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D9B850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BADB4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75FDD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6B976C2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B1C1E15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4B7B0FDB" w14:textId="77777777"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14:paraId="7ABB9A3A" w14:textId="77777777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C0F1D" w14:textId="77777777"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E7C9B1D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D575743" w14:textId="77777777"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14:paraId="5768C35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A188AB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6A8DB098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8BCA091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70575D86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91B2404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5141A2DD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E11EA5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54F1678F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62ABC2AE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725887B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95B7702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3C899A99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4C1EBF00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52924BF9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1797BA7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14:paraId="1B9C4872" w14:textId="77777777" w:rsidTr="008A5852">
        <w:tc>
          <w:tcPr>
            <w:tcW w:w="3420" w:type="dxa"/>
            <w:shd w:val="clear" w:color="auto" w:fill="F2F2F2" w:themeFill="background1" w:themeFillShade="F2"/>
          </w:tcPr>
          <w:p w14:paraId="05FCACC3" w14:textId="77777777"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497C6BC3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53EF726" w14:textId="77777777"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5593F682" w14:textId="77777777" w:rsidR="00EA5248" w:rsidRDefault="00EA5248" w:rsidP="00BE5384">
      <w:pPr>
        <w:tabs>
          <w:tab w:val="left" w:pos="3600"/>
        </w:tabs>
        <w:rPr>
          <w:b/>
          <w:szCs w:val="24"/>
        </w:rPr>
      </w:pPr>
    </w:p>
    <w:p w14:paraId="2864C2CD" w14:textId="77777777" w:rsidR="009B6EC1" w:rsidRDefault="009B6EC1" w:rsidP="009B6EC1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I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3C9209B1" w14:textId="77777777" w:rsidR="00007D51" w:rsidRDefault="00007D51" w:rsidP="00987843">
      <w:pPr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49"/>
        <w:gridCol w:w="2043"/>
      </w:tblGrid>
      <w:tr w:rsidR="00BC6DD8" w14:paraId="11270212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98A8F4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hree-year roll forward spending authority is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08" w:type="dxa"/>
            <w:gridSpan w:val="3"/>
          </w:tcPr>
          <w:p w14:paraId="63A6CD83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18933BD0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20871A19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</w:t>
            </w:r>
            <w:r>
              <w:rPr>
                <w:rFonts w:asciiTheme="minorHAnsi" w:hAnsiTheme="minorHAnsi"/>
                <w:sz w:val="22"/>
                <w:szCs w:val="22"/>
              </w:rPr>
              <w:t>uest 6-month encumbrance waiver: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14:paraId="7A00F55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</w:tcBorders>
            <w:hideMark/>
          </w:tcPr>
          <w:p w14:paraId="11D0F6A8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004DBCD8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636A57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lastRenderedPageBreak/>
              <w:t>Is this a continuation of a proje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ct appropriated in a prior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year:</w:t>
            </w:r>
            <w:proofErr w:type="gramEnd"/>
          </w:p>
        </w:tc>
        <w:tc>
          <w:tcPr>
            <w:tcW w:w="4108" w:type="dxa"/>
            <w:gridSpan w:val="3"/>
            <w:hideMark/>
          </w:tcPr>
          <w:p w14:paraId="01ADB6E2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14:paraId="7B0EFF0D" w14:textId="77777777" w:rsidTr="008A5852">
        <w:trPr>
          <w:jc w:val="center"/>
        </w:trPr>
        <w:tc>
          <w:tcPr>
            <w:tcW w:w="6355" w:type="dxa"/>
            <w:gridSpan w:val="4"/>
            <w:hideMark/>
          </w:tcPr>
          <w:p w14:paraId="41525B8D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Sta</w:t>
            </w:r>
            <w:r>
              <w:rPr>
                <w:rFonts w:asciiTheme="minorHAnsi" w:hAnsiTheme="minorHAnsi"/>
                <w:sz w:val="22"/>
                <w:szCs w:val="22"/>
              </w:rPr>
              <w:t>te Controller Project Number (if continuation):</w:t>
            </w:r>
          </w:p>
        </w:tc>
        <w:tc>
          <w:tcPr>
            <w:tcW w:w="4108" w:type="dxa"/>
            <w:gridSpan w:val="3"/>
            <w:vAlign w:val="center"/>
          </w:tcPr>
          <w:p w14:paraId="0F8EF9BA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DD8" w14:paraId="19851792" w14:textId="77777777" w:rsidTr="008A5852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095B958E" w14:textId="77777777" w:rsidR="00BC6DD8" w:rsidRPr="00B66610" w:rsidRDefault="00BC6DD8" w:rsidP="008A5852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BC6DD8" w14:paraId="585B32D4" w14:textId="77777777" w:rsidTr="008A5852">
        <w:trPr>
          <w:jc w:val="center"/>
        </w:trPr>
        <w:tc>
          <w:tcPr>
            <w:tcW w:w="2331" w:type="dxa"/>
            <w:vAlign w:val="center"/>
          </w:tcPr>
          <w:p w14:paraId="21E5EB3F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0C7E940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F007BBE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5" w:type="dxa"/>
            <w:vAlign w:val="center"/>
            <w:hideMark/>
          </w:tcPr>
          <w:p w14:paraId="00982DA0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91B0181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6" w:type="dxa"/>
            <w:vAlign w:val="center"/>
            <w:hideMark/>
          </w:tcPr>
          <w:p w14:paraId="4C159C69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741E58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B3D2B08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04A8BCAF" w14:textId="77777777"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BC6DD8" w14:paraId="031CDDB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3DB9E421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F719C2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480800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30BC49B0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263A0C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654FFBA7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0571CDDC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9F31C61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E94B38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9B94918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435F6F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5E0E7F96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8763007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03" w:type="dxa"/>
            <w:vAlign w:val="center"/>
          </w:tcPr>
          <w:p w14:paraId="791D47C5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357387D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41F1136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66E443E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08B95FD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6D4188F0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Reappropriated </w:t>
            </w:r>
          </w:p>
        </w:tc>
        <w:tc>
          <w:tcPr>
            <w:tcW w:w="2003" w:type="dxa"/>
            <w:vAlign w:val="center"/>
          </w:tcPr>
          <w:p w14:paraId="062F4B2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F6333FE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BCE77C7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D60BB3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14:paraId="43C603D3" w14:textId="77777777" w:rsidTr="008A5852">
        <w:trPr>
          <w:jc w:val="center"/>
        </w:trPr>
        <w:tc>
          <w:tcPr>
            <w:tcW w:w="2331" w:type="dxa"/>
            <w:vAlign w:val="center"/>
            <w:hideMark/>
          </w:tcPr>
          <w:p w14:paraId="4605DB15" w14:textId="77777777"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69B29C1A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41B8BBB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FCC4932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B20C8D9" w14:textId="77777777"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E8D8B13" w14:textId="77777777" w:rsidR="00BC6DD8" w:rsidRDefault="00BC6DD8" w:rsidP="00987843">
      <w:pPr>
        <w:jc w:val="both"/>
        <w:rPr>
          <w:rFonts w:asciiTheme="minorHAnsi" w:hAnsiTheme="minorHAnsi"/>
          <w:sz w:val="20"/>
        </w:rPr>
      </w:pPr>
    </w:p>
    <w:p w14:paraId="371D0E14" w14:textId="77777777" w:rsidR="00BC6DD8" w:rsidRDefault="00BC6DD8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</w:p>
    <w:p w14:paraId="70B1D540" w14:textId="77777777" w:rsid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J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COST SAVINGS / IMPROVED PERFORMANCE OUTCOMES</w:t>
      </w:r>
      <w:r w:rsidR="003B5567">
        <w:rPr>
          <w:rFonts w:asciiTheme="minorHAnsi" w:hAnsiTheme="minorHAnsi" w:cs="Arial"/>
          <w:b/>
          <w:bCs/>
          <w:iCs/>
          <w:szCs w:val="24"/>
        </w:rPr>
        <w:t>:</w:t>
      </w:r>
    </w:p>
    <w:p w14:paraId="714EFD18" w14:textId="77777777" w:rsidR="00104009" w:rsidRDefault="002F4959" w:rsidP="007F0A3B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Describe the cost savings or improved performance outcomes as a result of this project. 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Please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clearly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identify and quantify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anticipated administrative and operating efficiencies or program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enhancements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and service expansion through cost-benefit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analyses and return on investment calculations.</w:t>
      </w:r>
    </w:p>
    <w:p w14:paraId="7E5083DE" w14:textId="77777777" w:rsidR="007455E3" w:rsidRPr="002F4959" w:rsidRDefault="007455E3" w:rsidP="002F4959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71DFC91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K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SECURITY AND BACKUP / DISASTER RECOVERY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31336C46" w14:textId="77777777" w:rsidR="003B5567" w:rsidRDefault="007455E3" w:rsidP="001F1BD4">
      <w:pPr>
        <w:ind w:left="360"/>
        <w:jc w:val="both"/>
        <w:rPr>
          <w:rFonts w:asciiTheme="minorHAnsi" w:hAnsiTheme="minorHAnsi" w:cs="Arial"/>
          <w:bCs/>
          <w:i/>
          <w:iCs/>
          <w:szCs w:val="24"/>
        </w:rPr>
      </w:pPr>
      <w:r w:rsidRPr="007455E3">
        <w:rPr>
          <w:rFonts w:asciiTheme="minorHAnsi" w:hAnsiTheme="minorHAnsi" w:cs="Arial"/>
          <w:bCs/>
          <w:i/>
          <w:iCs/>
          <w:szCs w:val="24"/>
        </w:rPr>
        <w:t>Describe the data protection and disaster recovery considerations factored into the plan</w:t>
      </w:r>
      <w:r>
        <w:rPr>
          <w:rFonts w:asciiTheme="minorHAnsi" w:hAnsiTheme="minorHAnsi" w:cs="Arial"/>
          <w:bCs/>
          <w:i/>
          <w:iCs/>
          <w:szCs w:val="24"/>
        </w:rPr>
        <w:t>.</w:t>
      </w:r>
      <w:r w:rsidR="001F1BD4">
        <w:rPr>
          <w:rFonts w:asciiTheme="minorHAnsi" w:hAnsiTheme="minorHAnsi" w:cs="Arial"/>
          <w:bCs/>
          <w:i/>
          <w:iCs/>
          <w:szCs w:val="24"/>
        </w:rPr>
        <w:t xml:space="preserve"> Indicate any cybersecurity implications if applicable.</w:t>
      </w:r>
    </w:p>
    <w:p w14:paraId="1CCD9452" w14:textId="77777777" w:rsidR="00104009" w:rsidRPr="00104009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14:paraId="15BFCDEE" w14:textId="77777777"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L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BUSINESS PROCESS ANALYSIS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14:paraId="7A4BE984" w14:textId="77777777" w:rsidR="003B5567" w:rsidRPr="007455E3" w:rsidRDefault="002E0A67" w:rsidP="002E0A67">
      <w:pPr>
        <w:ind w:left="36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 w:cs="Arial"/>
          <w:bCs/>
          <w:i/>
          <w:iCs/>
          <w:szCs w:val="24"/>
        </w:rPr>
        <w:t xml:space="preserve">Describe alternatives analyzed, cost-benefit analysis, and measures in place to prevent time and cost overruns. Articulate how the proposed project fits in with the institution’s strategic IT plan. </w:t>
      </w:r>
    </w:p>
    <w:sectPr w:rsidR="003B5567" w:rsidRPr="007455E3" w:rsidSect="002B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E9E8" w14:textId="77777777" w:rsidR="008A5852" w:rsidRDefault="008A5852">
      <w:r>
        <w:separator/>
      </w:r>
    </w:p>
  </w:endnote>
  <w:endnote w:type="continuationSeparator" w:id="0">
    <w:p w14:paraId="0E6B8173" w14:textId="77777777" w:rsidR="008A5852" w:rsidRDefault="008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E2BB" w14:textId="77777777" w:rsidR="008A5852" w:rsidRDefault="008A5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15D5" w14:textId="77777777" w:rsidR="008A5852" w:rsidRPr="00BB084E" w:rsidRDefault="008A5852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767C3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14:paraId="0E118026" w14:textId="77777777" w:rsidR="008A5852" w:rsidRPr="00BB084E" w:rsidRDefault="008A5852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6017" w14:textId="77777777" w:rsidR="008A5852" w:rsidRPr="00C36720" w:rsidRDefault="008A5852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36CF247A" w14:textId="77777777" w:rsidR="008A5852" w:rsidRDefault="008A5852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3B73928" w14:textId="77777777" w:rsidR="008A5852" w:rsidRPr="007B36E6" w:rsidRDefault="008A5852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6051" w14:textId="77777777" w:rsidR="008A5852" w:rsidRDefault="008A5852">
      <w:r>
        <w:separator/>
      </w:r>
    </w:p>
  </w:footnote>
  <w:footnote w:type="continuationSeparator" w:id="0">
    <w:p w14:paraId="7833A264" w14:textId="77777777" w:rsidR="008A5852" w:rsidRDefault="008A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A522" w14:textId="77777777" w:rsidR="008A5852" w:rsidRDefault="008A5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6CAF" w14:textId="77777777" w:rsidR="008A5852" w:rsidRDefault="008A5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4504" w14:textId="77777777" w:rsidR="008A5852" w:rsidRDefault="008A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2033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4218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30E3"/>
    <w:rsid w:val="000E5771"/>
    <w:rsid w:val="000E58E0"/>
    <w:rsid w:val="000E76C3"/>
    <w:rsid w:val="000F695D"/>
    <w:rsid w:val="000F6E50"/>
    <w:rsid w:val="00104009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35AE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38D5"/>
    <w:rsid w:val="001854F1"/>
    <w:rsid w:val="00186502"/>
    <w:rsid w:val="00191657"/>
    <w:rsid w:val="00191D14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1BD4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6474F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0A67"/>
    <w:rsid w:val="002E386D"/>
    <w:rsid w:val="002E5595"/>
    <w:rsid w:val="002E66C7"/>
    <w:rsid w:val="002F4959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76FF"/>
    <w:rsid w:val="0038007D"/>
    <w:rsid w:val="00380632"/>
    <w:rsid w:val="00381C2F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B5567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828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4BD5"/>
    <w:rsid w:val="0044799B"/>
    <w:rsid w:val="00447BFC"/>
    <w:rsid w:val="004530ED"/>
    <w:rsid w:val="00463013"/>
    <w:rsid w:val="004664CE"/>
    <w:rsid w:val="00466F0A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259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574B"/>
    <w:rsid w:val="005728BC"/>
    <w:rsid w:val="00575839"/>
    <w:rsid w:val="00577081"/>
    <w:rsid w:val="005835AF"/>
    <w:rsid w:val="005836E1"/>
    <w:rsid w:val="005846E0"/>
    <w:rsid w:val="005909B0"/>
    <w:rsid w:val="00592EA3"/>
    <w:rsid w:val="005A38C9"/>
    <w:rsid w:val="005A6161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02D"/>
    <w:rsid w:val="00604F8F"/>
    <w:rsid w:val="00611A9B"/>
    <w:rsid w:val="0061215F"/>
    <w:rsid w:val="00612F21"/>
    <w:rsid w:val="00614588"/>
    <w:rsid w:val="006208A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32F"/>
    <w:rsid w:val="006A4DAE"/>
    <w:rsid w:val="006A574A"/>
    <w:rsid w:val="006A6E1E"/>
    <w:rsid w:val="006C1A36"/>
    <w:rsid w:val="006C21C2"/>
    <w:rsid w:val="006C2E3F"/>
    <w:rsid w:val="006C31E9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55E3"/>
    <w:rsid w:val="0074757A"/>
    <w:rsid w:val="00751B7D"/>
    <w:rsid w:val="007540E9"/>
    <w:rsid w:val="00754D27"/>
    <w:rsid w:val="007562D5"/>
    <w:rsid w:val="00763C8E"/>
    <w:rsid w:val="00764A2E"/>
    <w:rsid w:val="00765B6B"/>
    <w:rsid w:val="00766DCD"/>
    <w:rsid w:val="00767C3C"/>
    <w:rsid w:val="00770E77"/>
    <w:rsid w:val="007730E7"/>
    <w:rsid w:val="0077500E"/>
    <w:rsid w:val="007800DC"/>
    <w:rsid w:val="0078162F"/>
    <w:rsid w:val="00784C90"/>
    <w:rsid w:val="00785F73"/>
    <w:rsid w:val="007875B9"/>
    <w:rsid w:val="007876B2"/>
    <w:rsid w:val="007907F3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3B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21C4C"/>
    <w:rsid w:val="00821E89"/>
    <w:rsid w:val="00826C53"/>
    <w:rsid w:val="008308D9"/>
    <w:rsid w:val="00836445"/>
    <w:rsid w:val="0084080E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A1538"/>
    <w:rsid w:val="008A2D48"/>
    <w:rsid w:val="008A5852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61D1"/>
    <w:rsid w:val="008F70B5"/>
    <w:rsid w:val="00900D3B"/>
    <w:rsid w:val="0090184B"/>
    <w:rsid w:val="00901C4B"/>
    <w:rsid w:val="0090392B"/>
    <w:rsid w:val="009051F9"/>
    <w:rsid w:val="009079EF"/>
    <w:rsid w:val="009124CC"/>
    <w:rsid w:val="00915D06"/>
    <w:rsid w:val="00917EFD"/>
    <w:rsid w:val="0092129C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6EC1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704D"/>
    <w:rsid w:val="00A477C2"/>
    <w:rsid w:val="00A5215C"/>
    <w:rsid w:val="00A55F46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4FB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7440"/>
    <w:rsid w:val="00B506D4"/>
    <w:rsid w:val="00B53225"/>
    <w:rsid w:val="00B617AA"/>
    <w:rsid w:val="00B64A71"/>
    <w:rsid w:val="00B65A59"/>
    <w:rsid w:val="00B660C6"/>
    <w:rsid w:val="00B70F58"/>
    <w:rsid w:val="00B715D9"/>
    <w:rsid w:val="00B72A06"/>
    <w:rsid w:val="00B735F0"/>
    <w:rsid w:val="00B822C4"/>
    <w:rsid w:val="00B82508"/>
    <w:rsid w:val="00B82882"/>
    <w:rsid w:val="00B85DCA"/>
    <w:rsid w:val="00B9109D"/>
    <w:rsid w:val="00B93C21"/>
    <w:rsid w:val="00B95BDD"/>
    <w:rsid w:val="00B96F3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6DD8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21B8"/>
    <w:rsid w:val="00D12282"/>
    <w:rsid w:val="00D13F2D"/>
    <w:rsid w:val="00D16C80"/>
    <w:rsid w:val="00D21252"/>
    <w:rsid w:val="00D21484"/>
    <w:rsid w:val="00D23B6C"/>
    <w:rsid w:val="00D24CA0"/>
    <w:rsid w:val="00D33143"/>
    <w:rsid w:val="00D34FF6"/>
    <w:rsid w:val="00D3785F"/>
    <w:rsid w:val="00D41D73"/>
    <w:rsid w:val="00D41F68"/>
    <w:rsid w:val="00D42672"/>
    <w:rsid w:val="00D42C30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4EF7"/>
    <w:rsid w:val="00EA5248"/>
    <w:rsid w:val="00EB25BB"/>
    <w:rsid w:val="00EB26BF"/>
    <w:rsid w:val="00EB4029"/>
    <w:rsid w:val="00EB417B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3829"/>
    <w:rsid w:val="00F064EB"/>
    <w:rsid w:val="00F14805"/>
    <w:rsid w:val="00F14A11"/>
    <w:rsid w:val="00F22F27"/>
    <w:rsid w:val="00F27643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4CF4"/>
    <w:rsid w:val="00FF634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 strokecolor="none [3213]">
      <v:stroke color="none [3213]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A73ABEE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28A5-1832-49C1-AD3B-6447BC63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Rebecca Massey</cp:lastModifiedBy>
  <cp:revision>2</cp:revision>
  <cp:lastPrinted>2017-03-29T16:36:00Z</cp:lastPrinted>
  <dcterms:created xsi:type="dcterms:W3CDTF">2020-03-06T19:19:00Z</dcterms:created>
  <dcterms:modified xsi:type="dcterms:W3CDTF">2020-03-06T19:19:00Z</dcterms:modified>
</cp:coreProperties>
</file>