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B58" w:rsidRDefault="00104CA3" w:rsidP="00104CA3">
      <w:pPr>
        <w:pStyle w:val="ListParagraph"/>
        <w:ind w:left="0"/>
      </w:pPr>
      <w:r>
        <w:t>Dear Data Advisory Group and Institutional Reporting Folks-</w:t>
      </w:r>
    </w:p>
    <w:p w:rsidR="00104CA3" w:rsidRDefault="00104CA3" w:rsidP="00104CA3">
      <w:pPr>
        <w:pStyle w:val="ListParagraph"/>
        <w:ind w:left="0"/>
      </w:pPr>
    </w:p>
    <w:p w:rsidR="00104CA3" w:rsidRDefault="00104CA3" w:rsidP="00104CA3">
      <w:pPr>
        <w:pStyle w:val="ListParagraph"/>
        <w:ind w:left="0"/>
      </w:pPr>
      <w:r>
        <w:t>The Data Advisory Group (DAG) is meeting August 10, 2012 and we’d like to discuss some tweaks to the Educator Preparation File in SURDS from 9:15-9:45 during that meeting. If you are the person who submits the Ed Prep File for a private institution, please plan on joining the DAG meeting at that time to give your input and/or feel free to send me any comments on the proposed tweaks below.</w:t>
      </w:r>
      <w:r w:rsidR="003D59C6">
        <w:t xml:space="preserve"> The two tweaks we are considering are 1) changing the definition of “program completer” in field 22 and 2) the addition of a new field 23 that would indicate if the student is in an initial licensure program.</w:t>
      </w:r>
      <w:r w:rsidR="000057F4">
        <w:t xml:space="preserve"> One last related question is, “Should private IHEs report to DHE the CIP codes for the degree programs associated with educator preparation programs?”</w:t>
      </w:r>
    </w:p>
    <w:p w:rsidR="00104CA3" w:rsidRDefault="00104CA3" w:rsidP="00104CA3">
      <w:pPr>
        <w:pStyle w:val="ListParagraph"/>
        <w:ind w:left="0"/>
      </w:pPr>
    </w:p>
    <w:p w:rsidR="003D59C6" w:rsidRPr="001516E4" w:rsidRDefault="003D59C6" w:rsidP="00104CA3">
      <w:pPr>
        <w:pStyle w:val="ListParagraph"/>
        <w:ind w:left="0"/>
        <w:rPr>
          <w:b/>
        </w:rPr>
      </w:pPr>
      <w:r w:rsidRPr="001516E4">
        <w:rPr>
          <w:b/>
        </w:rPr>
        <w:t>Tweak #1:</w:t>
      </w:r>
    </w:p>
    <w:p w:rsidR="00104CA3" w:rsidRDefault="00104CA3" w:rsidP="00104CA3">
      <w:pPr>
        <w:pStyle w:val="ListParagraph"/>
        <w:ind w:left="0"/>
      </w:pPr>
      <w:r>
        <w:t xml:space="preserve">After adding a new field for “completers” last year, we realized that the definition for “completer” that we settled on was different than the federal Title II definition for the Title II report you file with CDE each year. As a point of reference, you can access Colorado’s 2010 Title II report online at </w:t>
      </w:r>
      <w:hyperlink r:id="rId8" w:history="1">
        <w:r w:rsidRPr="00623E83">
          <w:rPr>
            <w:rStyle w:val="Hyperlink"/>
          </w:rPr>
          <w:t>https://title2.ed.gov/Title2STRC/ChooseState.aspx?Type=Map&amp;Year=2011</w:t>
        </w:r>
      </w:hyperlink>
      <w:r>
        <w:t xml:space="preserve"> </w:t>
      </w:r>
    </w:p>
    <w:p w:rsidR="00104CA3" w:rsidRDefault="00104CA3" w:rsidP="00104CA3">
      <w:pPr>
        <w:pStyle w:val="ListParagraph"/>
        <w:ind w:left="0"/>
      </w:pPr>
    </w:p>
    <w:p w:rsidR="00487EC1" w:rsidRDefault="003D59C6" w:rsidP="003D59C6">
      <w:pPr>
        <w:pStyle w:val="ListParagraph"/>
        <w:ind w:left="0"/>
      </w:pPr>
      <w:r>
        <w:t xml:space="preserve">We think it might be </w:t>
      </w:r>
      <w:r w:rsidR="00487EC1">
        <w:t xml:space="preserve">best to bring DHE’s Ed Prep File definition for “program completer” in line with the federal Title II definition. The main difference between DHE’s current definition and the Title II definition is that DHE was basing it on whether or not the individual was eligible for recommendation for licensure, which means they would have had to have passed the PLACE or Praxis II, and the </w:t>
      </w:r>
      <w:r>
        <w:t xml:space="preserve">federal </w:t>
      </w:r>
      <w:r w:rsidR="00487EC1">
        <w:t>Title II definition forbids using passage of the state’s licensure exam as a criterion. So, we recommend changing the current field in the Educator Preparation File in SURDS, which looks like this:</w:t>
      </w:r>
    </w:p>
    <w:tbl>
      <w:tblPr>
        <w:tblW w:w="10500"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7"/>
        <w:gridCol w:w="2668"/>
        <w:gridCol w:w="7235"/>
      </w:tblGrid>
      <w:tr w:rsidR="00487EC1" w:rsidTr="00487EC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3F3F3"/>
            <w:tcMar>
              <w:top w:w="45" w:type="dxa"/>
              <w:left w:w="45" w:type="dxa"/>
              <w:bottom w:w="45" w:type="dxa"/>
              <w:right w:w="45" w:type="dxa"/>
            </w:tcMar>
            <w:hideMark/>
          </w:tcPr>
          <w:p w:rsidR="00487EC1" w:rsidRDefault="00487EC1">
            <w:pPr>
              <w:jc w:val="center"/>
              <w:rPr>
                <w:rFonts w:ascii="Times New Roman" w:hAnsi="Times New Roman" w:cs="Times New Roman"/>
                <w:color w:val="000000"/>
                <w:sz w:val="20"/>
                <w:szCs w:val="20"/>
              </w:rPr>
            </w:pPr>
            <w:r>
              <w:rPr>
                <w:rFonts w:ascii="Times New Roman" w:hAnsi="Times New Roman" w:cs="Times New Roman"/>
                <w:color w:val="000000"/>
                <w:sz w:val="20"/>
                <w:szCs w:val="20"/>
              </w:rPr>
              <w:t>22/62</w:t>
            </w:r>
          </w:p>
        </w:tc>
        <w:tc>
          <w:tcPr>
            <w:tcW w:w="0" w:type="auto"/>
            <w:tcBorders>
              <w:top w:val="outset" w:sz="6" w:space="0" w:color="auto"/>
              <w:left w:val="outset" w:sz="6" w:space="0" w:color="auto"/>
              <w:bottom w:val="outset" w:sz="6" w:space="0" w:color="auto"/>
              <w:right w:val="outset" w:sz="6" w:space="0" w:color="auto"/>
            </w:tcBorders>
            <w:shd w:val="clear" w:color="auto" w:fill="F3F3F3"/>
            <w:tcMar>
              <w:top w:w="45" w:type="dxa"/>
              <w:left w:w="45" w:type="dxa"/>
              <w:bottom w:w="45" w:type="dxa"/>
              <w:right w:w="45" w:type="dxa"/>
            </w:tcMar>
            <w:hideMark/>
          </w:tcPr>
          <w:p w:rsidR="00487EC1" w:rsidRDefault="00487EC1">
            <w:pPr>
              <w:rPr>
                <w:rFonts w:ascii="Times New Roman" w:hAnsi="Times New Roman" w:cs="Times New Roman"/>
                <w:color w:val="000000"/>
                <w:sz w:val="20"/>
                <w:szCs w:val="20"/>
              </w:rPr>
            </w:pPr>
            <w:bookmarkStart w:id="0" w:name="InstRecommendation"/>
            <w:bookmarkEnd w:id="0"/>
            <w:r>
              <w:rPr>
                <w:rFonts w:ascii="Times New Roman" w:hAnsi="Times New Roman" w:cs="Times New Roman"/>
                <w:color w:val="000000"/>
                <w:sz w:val="20"/>
                <w:szCs w:val="20"/>
              </w:rPr>
              <w:t>Institutional Recommendation for Licensure</w:t>
            </w:r>
          </w:p>
        </w:tc>
        <w:tc>
          <w:tcPr>
            <w:tcW w:w="0" w:type="auto"/>
            <w:tcBorders>
              <w:top w:val="outset" w:sz="6" w:space="0" w:color="auto"/>
              <w:left w:val="outset" w:sz="6" w:space="0" w:color="auto"/>
              <w:bottom w:val="outset" w:sz="6" w:space="0" w:color="auto"/>
              <w:right w:val="outset" w:sz="6" w:space="0" w:color="auto"/>
            </w:tcBorders>
            <w:shd w:val="clear" w:color="auto" w:fill="F3F3F3"/>
            <w:tcMar>
              <w:top w:w="45" w:type="dxa"/>
              <w:left w:w="45" w:type="dxa"/>
              <w:bottom w:w="45" w:type="dxa"/>
              <w:right w:w="45" w:type="dxa"/>
            </w:tcMar>
            <w:vAlign w:val="center"/>
            <w:hideMark/>
          </w:tcPr>
          <w:p w:rsidR="00487EC1" w:rsidRDefault="00487EC1">
            <w:pPr>
              <w:spacing w:before="100" w:beforeAutospacing="1" w:after="100" w:afterAutospacing="1"/>
              <w:rPr>
                <w:rFonts w:ascii="Times New Roman" w:hAnsi="Times New Roman" w:cs="Times New Roman"/>
                <w:color w:val="000000"/>
                <w:sz w:val="20"/>
                <w:szCs w:val="20"/>
              </w:rPr>
            </w:pPr>
            <w:r>
              <w:rPr>
                <w:rFonts w:ascii="Times New Roman" w:hAnsi="Times New Roman" w:cs="Times New Roman"/>
                <w:b/>
                <w:bCs/>
                <w:color w:val="000000"/>
                <w:sz w:val="20"/>
                <w:szCs w:val="20"/>
              </w:rPr>
              <w:t>Definition:</w:t>
            </w:r>
            <w:r>
              <w:rPr>
                <w:rFonts w:ascii="Times New Roman" w:hAnsi="Times New Roman" w:cs="Times New Roman"/>
                <w:color w:val="000000"/>
                <w:sz w:val="20"/>
                <w:szCs w:val="20"/>
              </w:rPr>
              <w:t xml:space="preserve"> Did the candidate complete the endorsement program and was the candidate eligible to receive an institutional recommendation for licensure.</w:t>
            </w:r>
          </w:p>
          <w:p w:rsidR="00487EC1" w:rsidRDefault="00487EC1">
            <w:pPr>
              <w:pStyle w:val="NormalWeb"/>
              <w:rPr>
                <w:color w:val="000000"/>
                <w:sz w:val="20"/>
                <w:szCs w:val="20"/>
              </w:rPr>
            </w:pPr>
            <w:r>
              <w:rPr>
                <w:rStyle w:val="Strong"/>
                <w:color w:val="000000"/>
                <w:sz w:val="20"/>
                <w:szCs w:val="20"/>
              </w:rPr>
              <w:t>Codes/Notes:</w:t>
            </w:r>
            <w:r>
              <w:rPr>
                <w:color w:val="000000"/>
                <w:sz w:val="20"/>
                <w:szCs w:val="20"/>
              </w:rPr>
              <w:t xml:space="preserve"> This is a yes/no field. “1” specifies a “yes” response and “0” specifies a “no” response (or not completed</w:t>
            </w:r>
            <w:proofErr w:type="gramStart"/>
            <w:r>
              <w:rPr>
                <w:color w:val="000000"/>
                <w:sz w:val="20"/>
                <w:szCs w:val="20"/>
              </w:rPr>
              <w:t>)</w:t>
            </w:r>
            <w:proofErr w:type="gramEnd"/>
            <w:r>
              <w:rPr>
                <w:color w:val="000000"/>
                <w:sz w:val="20"/>
                <w:szCs w:val="20"/>
              </w:rPr>
              <w:br/>
            </w:r>
            <w:r>
              <w:rPr>
                <w:color w:val="000000"/>
                <w:sz w:val="20"/>
                <w:szCs w:val="20"/>
              </w:rPr>
              <w:br/>
            </w:r>
            <w:r>
              <w:rPr>
                <w:rStyle w:val="Strong"/>
                <w:color w:val="000000"/>
                <w:sz w:val="20"/>
                <w:szCs w:val="20"/>
              </w:rPr>
              <w:t>Missing Value:</w:t>
            </w:r>
            <w:r>
              <w:rPr>
                <w:color w:val="000000"/>
                <w:sz w:val="20"/>
                <w:szCs w:val="20"/>
              </w:rPr>
              <w:t xml:space="preserve"> Does not apply; field must be completed.</w:t>
            </w:r>
            <w:r>
              <w:rPr>
                <w:color w:val="000000"/>
                <w:sz w:val="20"/>
                <w:szCs w:val="20"/>
              </w:rPr>
              <w:br/>
            </w:r>
            <w:r>
              <w:rPr>
                <w:color w:val="000000"/>
                <w:sz w:val="20"/>
                <w:szCs w:val="20"/>
              </w:rPr>
              <w:br/>
            </w:r>
            <w:r>
              <w:rPr>
                <w:rStyle w:val="Strong"/>
                <w:color w:val="000000"/>
                <w:sz w:val="20"/>
                <w:szCs w:val="20"/>
              </w:rPr>
              <w:t>Edit Specs:</w:t>
            </w:r>
            <w:r>
              <w:rPr>
                <w:color w:val="000000"/>
                <w:sz w:val="20"/>
                <w:szCs w:val="20"/>
              </w:rPr>
              <w:t xml:space="preserve"> </w:t>
            </w:r>
            <w:r>
              <w:rPr>
                <w:color w:val="000000"/>
                <w:sz w:val="20"/>
                <w:szCs w:val="20"/>
              </w:rPr>
              <w:br/>
              <w:t>Error if blank (Effective 2011-12)</w:t>
            </w:r>
            <w:r>
              <w:rPr>
                <w:color w:val="000000"/>
                <w:sz w:val="20"/>
                <w:szCs w:val="20"/>
              </w:rPr>
              <w:br/>
              <w:t>Error if not 1 or 0</w:t>
            </w:r>
            <w:r>
              <w:rPr>
                <w:color w:val="000000"/>
                <w:sz w:val="20"/>
                <w:szCs w:val="20"/>
              </w:rPr>
              <w:br/>
            </w:r>
            <w:r>
              <w:rPr>
                <w:color w:val="000000"/>
                <w:sz w:val="20"/>
                <w:szCs w:val="20"/>
              </w:rPr>
              <w:br/>
            </w:r>
            <w:r>
              <w:rPr>
                <w:rStyle w:val="Strong"/>
                <w:color w:val="000000"/>
                <w:sz w:val="20"/>
                <w:szCs w:val="20"/>
              </w:rPr>
              <w:t>Format:</w:t>
            </w:r>
            <w:r>
              <w:rPr>
                <w:color w:val="000000"/>
                <w:sz w:val="20"/>
                <w:szCs w:val="20"/>
              </w:rPr>
              <w:t xml:space="preserve"> Numeric, 1 place integer</w:t>
            </w:r>
          </w:p>
          <w:p w:rsidR="00487EC1" w:rsidRDefault="00487EC1">
            <w:pPr>
              <w:pStyle w:val="NormalWeb"/>
              <w:rPr>
                <w:color w:val="000000"/>
                <w:sz w:val="20"/>
                <w:szCs w:val="20"/>
              </w:rPr>
            </w:pPr>
            <w:r>
              <w:rPr>
                <w:rStyle w:val="Strong"/>
                <w:color w:val="000000"/>
                <w:sz w:val="20"/>
                <w:szCs w:val="20"/>
              </w:rPr>
              <w:t>Updates:</w:t>
            </w:r>
            <w:r>
              <w:rPr>
                <w:color w:val="000000"/>
                <w:sz w:val="20"/>
                <w:szCs w:val="20"/>
              </w:rPr>
              <w:t xml:space="preserve"> Added – July 2011; </w:t>
            </w:r>
          </w:p>
        </w:tc>
      </w:tr>
    </w:tbl>
    <w:p w:rsidR="00F842C4" w:rsidRDefault="00F842C4" w:rsidP="00487EC1">
      <w:pPr>
        <w:ind w:left="360"/>
      </w:pPr>
    </w:p>
    <w:p w:rsidR="00487EC1" w:rsidRDefault="00487EC1" w:rsidP="00487EC1">
      <w:pPr>
        <w:ind w:left="360"/>
      </w:pPr>
      <w:r>
        <w:t>To this:</w:t>
      </w:r>
    </w:p>
    <w:tbl>
      <w:tblPr>
        <w:tblW w:w="10500"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7"/>
        <w:gridCol w:w="1145"/>
        <w:gridCol w:w="8758"/>
      </w:tblGrid>
      <w:tr w:rsidR="00487EC1" w:rsidTr="00487EC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3F3F3"/>
            <w:tcMar>
              <w:top w:w="45" w:type="dxa"/>
              <w:left w:w="45" w:type="dxa"/>
              <w:bottom w:w="45" w:type="dxa"/>
              <w:right w:w="45" w:type="dxa"/>
            </w:tcMar>
            <w:hideMark/>
          </w:tcPr>
          <w:p w:rsidR="00487EC1" w:rsidRDefault="00487EC1">
            <w:pPr>
              <w:jc w:val="center"/>
              <w:rPr>
                <w:rFonts w:ascii="Times New Roman" w:hAnsi="Times New Roman" w:cs="Times New Roman"/>
                <w:color w:val="000000"/>
                <w:sz w:val="20"/>
                <w:szCs w:val="20"/>
              </w:rPr>
            </w:pPr>
            <w:r>
              <w:rPr>
                <w:rFonts w:ascii="Times New Roman" w:hAnsi="Times New Roman" w:cs="Times New Roman"/>
                <w:color w:val="000000"/>
                <w:sz w:val="20"/>
                <w:szCs w:val="20"/>
              </w:rPr>
              <w:t>22/62</w:t>
            </w:r>
          </w:p>
        </w:tc>
        <w:tc>
          <w:tcPr>
            <w:tcW w:w="0" w:type="auto"/>
            <w:tcBorders>
              <w:top w:val="outset" w:sz="6" w:space="0" w:color="auto"/>
              <w:left w:val="outset" w:sz="6" w:space="0" w:color="auto"/>
              <w:bottom w:val="outset" w:sz="6" w:space="0" w:color="auto"/>
              <w:right w:val="outset" w:sz="6" w:space="0" w:color="auto"/>
            </w:tcBorders>
            <w:shd w:val="clear" w:color="auto" w:fill="F3F3F3"/>
            <w:tcMar>
              <w:top w:w="45" w:type="dxa"/>
              <w:left w:w="45" w:type="dxa"/>
              <w:bottom w:w="45" w:type="dxa"/>
              <w:right w:w="45" w:type="dxa"/>
            </w:tcMar>
            <w:hideMark/>
          </w:tcPr>
          <w:p w:rsidR="00487EC1" w:rsidRDefault="00487EC1">
            <w:pPr>
              <w:rPr>
                <w:rFonts w:ascii="Times New Roman" w:hAnsi="Times New Roman" w:cs="Times New Roman"/>
                <w:color w:val="000000"/>
                <w:sz w:val="20"/>
                <w:szCs w:val="20"/>
              </w:rPr>
            </w:pPr>
            <w:r>
              <w:rPr>
                <w:rFonts w:ascii="Times New Roman" w:hAnsi="Times New Roman" w:cs="Times New Roman"/>
                <w:color w:val="000000"/>
                <w:sz w:val="20"/>
                <w:szCs w:val="20"/>
              </w:rPr>
              <w:t>Program Completer</w:t>
            </w:r>
          </w:p>
        </w:tc>
        <w:tc>
          <w:tcPr>
            <w:tcW w:w="0" w:type="auto"/>
            <w:tcBorders>
              <w:top w:val="outset" w:sz="6" w:space="0" w:color="auto"/>
              <w:left w:val="outset" w:sz="6" w:space="0" w:color="auto"/>
              <w:bottom w:val="outset" w:sz="6" w:space="0" w:color="auto"/>
              <w:right w:val="outset" w:sz="6" w:space="0" w:color="auto"/>
            </w:tcBorders>
            <w:shd w:val="clear" w:color="auto" w:fill="F3F3F3"/>
            <w:tcMar>
              <w:top w:w="45" w:type="dxa"/>
              <w:left w:w="45" w:type="dxa"/>
              <w:bottom w:w="45" w:type="dxa"/>
              <w:right w:w="45" w:type="dxa"/>
            </w:tcMar>
            <w:vAlign w:val="center"/>
            <w:hideMark/>
          </w:tcPr>
          <w:p w:rsidR="00487EC1" w:rsidRDefault="00487EC1">
            <w:pPr>
              <w:spacing w:before="100" w:beforeAutospacing="1" w:after="100" w:afterAutospacing="1"/>
              <w:rPr>
                <w:rFonts w:ascii="Times New Roman" w:hAnsi="Times New Roman" w:cs="Times New Roman"/>
                <w:color w:val="000000"/>
                <w:sz w:val="20"/>
                <w:szCs w:val="20"/>
              </w:rPr>
            </w:pPr>
            <w:r>
              <w:rPr>
                <w:rFonts w:ascii="Times New Roman" w:hAnsi="Times New Roman" w:cs="Times New Roman"/>
                <w:b/>
                <w:bCs/>
                <w:color w:val="000000"/>
                <w:sz w:val="20"/>
                <w:szCs w:val="20"/>
              </w:rPr>
              <w:t>Definition:</w:t>
            </w:r>
            <w:r>
              <w:rPr>
                <w:rFonts w:ascii="Times New Roman" w:hAnsi="Times New Roman" w:cs="Times New Roman"/>
                <w:color w:val="000000"/>
                <w:sz w:val="20"/>
                <w:szCs w:val="20"/>
              </w:rPr>
              <w:t xml:space="preserve"> Did the candidate complete the requirements of the endorsement/preparation program? Program completers include all those who are documented as having met such requirements. Documentation may take the form of a degree, institutional certificate, program credential, transcript or other written proof of having met the program’s requirements. In answering this question, whether or not an individual has actually received an institutional recommendation for licensure or has passed the PLACE or Praxis II, may NOT be used as criteria for determining who is a program completer.</w:t>
            </w:r>
          </w:p>
          <w:p w:rsidR="00487EC1" w:rsidRDefault="00487EC1">
            <w:pPr>
              <w:pStyle w:val="NormalWeb"/>
              <w:rPr>
                <w:color w:val="000000"/>
                <w:sz w:val="20"/>
                <w:szCs w:val="20"/>
              </w:rPr>
            </w:pPr>
            <w:r>
              <w:rPr>
                <w:rStyle w:val="Strong"/>
                <w:color w:val="000000"/>
                <w:sz w:val="20"/>
                <w:szCs w:val="20"/>
              </w:rPr>
              <w:t>Codes/Notes:</w:t>
            </w:r>
            <w:r>
              <w:rPr>
                <w:color w:val="000000"/>
                <w:sz w:val="20"/>
                <w:szCs w:val="20"/>
              </w:rPr>
              <w:t xml:space="preserve"> This is a yes/no field. “1” specifies a “yes” response and “0” specifies a “no” response (or not completed</w:t>
            </w:r>
            <w:proofErr w:type="gramStart"/>
            <w:r>
              <w:rPr>
                <w:color w:val="000000"/>
                <w:sz w:val="20"/>
                <w:szCs w:val="20"/>
              </w:rPr>
              <w:t>)</w:t>
            </w:r>
            <w:proofErr w:type="gramEnd"/>
            <w:r>
              <w:rPr>
                <w:color w:val="000000"/>
                <w:sz w:val="20"/>
                <w:szCs w:val="20"/>
              </w:rPr>
              <w:br/>
            </w:r>
            <w:r>
              <w:rPr>
                <w:color w:val="000000"/>
                <w:sz w:val="20"/>
                <w:szCs w:val="20"/>
              </w:rPr>
              <w:lastRenderedPageBreak/>
              <w:br/>
            </w:r>
            <w:r>
              <w:rPr>
                <w:rStyle w:val="Strong"/>
                <w:color w:val="000000"/>
                <w:sz w:val="20"/>
                <w:szCs w:val="20"/>
              </w:rPr>
              <w:t>Missing Value:</w:t>
            </w:r>
            <w:r>
              <w:rPr>
                <w:color w:val="000000"/>
                <w:sz w:val="20"/>
                <w:szCs w:val="20"/>
              </w:rPr>
              <w:t xml:space="preserve"> Does not apply; field must be completed.</w:t>
            </w:r>
            <w:r>
              <w:rPr>
                <w:color w:val="000000"/>
                <w:sz w:val="20"/>
                <w:szCs w:val="20"/>
              </w:rPr>
              <w:br/>
            </w:r>
            <w:r>
              <w:rPr>
                <w:color w:val="000000"/>
                <w:sz w:val="20"/>
                <w:szCs w:val="20"/>
              </w:rPr>
              <w:br/>
            </w:r>
            <w:r>
              <w:rPr>
                <w:rStyle w:val="Strong"/>
                <w:color w:val="000000"/>
                <w:sz w:val="20"/>
                <w:szCs w:val="20"/>
              </w:rPr>
              <w:t>Edit Specs:</w:t>
            </w:r>
            <w:r>
              <w:rPr>
                <w:color w:val="000000"/>
                <w:sz w:val="20"/>
                <w:szCs w:val="20"/>
              </w:rPr>
              <w:t xml:space="preserve"> </w:t>
            </w:r>
            <w:r>
              <w:rPr>
                <w:color w:val="000000"/>
                <w:sz w:val="20"/>
                <w:szCs w:val="20"/>
              </w:rPr>
              <w:br/>
              <w:t>Error if blank (Effective 2011-12)</w:t>
            </w:r>
            <w:r>
              <w:rPr>
                <w:color w:val="000000"/>
                <w:sz w:val="20"/>
                <w:szCs w:val="20"/>
              </w:rPr>
              <w:br/>
              <w:t>Error if not 1 or 0</w:t>
            </w:r>
            <w:r>
              <w:rPr>
                <w:color w:val="000000"/>
                <w:sz w:val="20"/>
                <w:szCs w:val="20"/>
              </w:rPr>
              <w:br/>
            </w:r>
            <w:r>
              <w:rPr>
                <w:color w:val="000000"/>
                <w:sz w:val="20"/>
                <w:szCs w:val="20"/>
              </w:rPr>
              <w:br/>
            </w:r>
            <w:r>
              <w:rPr>
                <w:rStyle w:val="Strong"/>
                <w:color w:val="000000"/>
                <w:sz w:val="20"/>
                <w:szCs w:val="20"/>
              </w:rPr>
              <w:t>Format:</w:t>
            </w:r>
            <w:r>
              <w:rPr>
                <w:color w:val="000000"/>
                <w:sz w:val="20"/>
                <w:szCs w:val="20"/>
              </w:rPr>
              <w:t xml:space="preserve"> Numeric, 1 place integer</w:t>
            </w:r>
          </w:p>
          <w:p w:rsidR="00487EC1" w:rsidRDefault="00487EC1">
            <w:pPr>
              <w:spacing w:before="100" w:beforeAutospacing="1" w:after="100" w:afterAutospacing="1"/>
              <w:rPr>
                <w:rFonts w:ascii="Times New Roman" w:hAnsi="Times New Roman" w:cs="Times New Roman"/>
                <w:color w:val="000000"/>
                <w:sz w:val="20"/>
                <w:szCs w:val="20"/>
              </w:rPr>
            </w:pPr>
            <w:r>
              <w:rPr>
                <w:rStyle w:val="Strong"/>
                <w:color w:val="000000"/>
                <w:sz w:val="20"/>
                <w:szCs w:val="20"/>
              </w:rPr>
              <w:t>Updates:</w:t>
            </w:r>
            <w:r>
              <w:rPr>
                <w:color w:val="000000"/>
                <w:sz w:val="20"/>
                <w:szCs w:val="20"/>
              </w:rPr>
              <w:t xml:space="preserve"> Added – July 2011; Revised to current definition July 2012</w:t>
            </w:r>
          </w:p>
        </w:tc>
      </w:tr>
    </w:tbl>
    <w:p w:rsidR="00487EC1" w:rsidRDefault="00487EC1" w:rsidP="00487EC1"/>
    <w:p w:rsidR="003D59C6" w:rsidRDefault="003D59C6" w:rsidP="00487EC1"/>
    <w:p w:rsidR="003D59C6" w:rsidRPr="001516E4" w:rsidRDefault="003D59C6" w:rsidP="00487EC1">
      <w:pPr>
        <w:rPr>
          <w:b/>
        </w:rPr>
      </w:pPr>
      <w:r w:rsidRPr="001516E4">
        <w:rPr>
          <w:b/>
        </w:rPr>
        <w:t>Tweak #2:</w:t>
      </w:r>
    </w:p>
    <w:p w:rsidR="003D59C6" w:rsidRDefault="003D59C6" w:rsidP="003D59C6">
      <w:r>
        <w:t>We also recommend the addition of a field in the Educator Preparation File in SURDS that will capture whether the student was in an “initial licensure program.” It can look like this:</w:t>
      </w:r>
    </w:p>
    <w:p w:rsidR="00F842C4" w:rsidRDefault="00F842C4" w:rsidP="00F842C4"/>
    <w:tbl>
      <w:tblPr>
        <w:tblW w:w="10500"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7"/>
        <w:gridCol w:w="1305"/>
        <w:gridCol w:w="8598"/>
      </w:tblGrid>
      <w:tr w:rsidR="005B65DE" w:rsidTr="00487EC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3F3F3"/>
            <w:tcMar>
              <w:top w:w="45" w:type="dxa"/>
              <w:left w:w="45" w:type="dxa"/>
              <w:bottom w:w="45" w:type="dxa"/>
              <w:right w:w="45" w:type="dxa"/>
            </w:tcMar>
            <w:hideMark/>
          </w:tcPr>
          <w:p w:rsidR="00487EC1" w:rsidRDefault="00487EC1">
            <w:pPr>
              <w:jc w:val="center"/>
              <w:rPr>
                <w:rFonts w:ascii="Times New Roman" w:hAnsi="Times New Roman" w:cs="Times New Roman"/>
                <w:color w:val="000000"/>
                <w:sz w:val="20"/>
                <w:szCs w:val="20"/>
              </w:rPr>
            </w:pPr>
            <w:r>
              <w:rPr>
                <w:rFonts w:ascii="Times New Roman" w:hAnsi="Times New Roman" w:cs="Times New Roman"/>
                <w:color w:val="000000"/>
                <w:sz w:val="20"/>
                <w:szCs w:val="20"/>
              </w:rPr>
              <w:t>23/**</w:t>
            </w:r>
          </w:p>
        </w:tc>
        <w:tc>
          <w:tcPr>
            <w:tcW w:w="0" w:type="auto"/>
            <w:tcBorders>
              <w:top w:val="outset" w:sz="6" w:space="0" w:color="auto"/>
              <w:left w:val="outset" w:sz="6" w:space="0" w:color="auto"/>
              <w:bottom w:val="outset" w:sz="6" w:space="0" w:color="auto"/>
              <w:right w:val="outset" w:sz="6" w:space="0" w:color="auto"/>
            </w:tcBorders>
            <w:shd w:val="clear" w:color="auto" w:fill="F3F3F3"/>
            <w:tcMar>
              <w:top w:w="45" w:type="dxa"/>
              <w:left w:w="45" w:type="dxa"/>
              <w:bottom w:w="45" w:type="dxa"/>
              <w:right w:w="45" w:type="dxa"/>
            </w:tcMar>
            <w:hideMark/>
          </w:tcPr>
          <w:p w:rsidR="00487EC1" w:rsidRDefault="00487EC1">
            <w:pPr>
              <w:rPr>
                <w:rFonts w:ascii="Times New Roman" w:hAnsi="Times New Roman" w:cs="Times New Roman"/>
                <w:color w:val="000000"/>
                <w:sz w:val="20"/>
                <w:szCs w:val="20"/>
              </w:rPr>
            </w:pPr>
            <w:r>
              <w:rPr>
                <w:rFonts w:ascii="Times New Roman" w:hAnsi="Times New Roman" w:cs="Times New Roman"/>
                <w:color w:val="000000"/>
                <w:sz w:val="20"/>
                <w:szCs w:val="20"/>
              </w:rPr>
              <w:t>Initial Licensure Program</w:t>
            </w:r>
          </w:p>
        </w:tc>
        <w:tc>
          <w:tcPr>
            <w:tcW w:w="0" w:type="auto"/>
            <w:tcBorders>
              <w:top w:val="outset" w:sz="6" w:space="0" w:color="auto"/>
              <w:left w:val="outset" w:sz="6" w:space="0" w:color="auto"/>
              <w:bottom w:val="outset" w:sz="6" w:space="0" w:color="auto"/>
              <w:right w:val="outset" w:sz="6" w:space="0" w:color="auto"/>
            </w:tcBorders>
            <w:shd w:val="clear" w:color="auto" w:fill="F3F3F3"/>
            <w:tcMar>
              <w:top w:w="45" w:type="dxa"/>
              <w:left w:w="45" w:type="dxa"/>
              <w:bottom w:w="45" w:type="dxa"/>
              <w:right w:w="45" w:type="dxa"/>
            </w:tcMar>
            <w:vAlign w:val="center"/>
            <w:hideMark/>
          </w:tcPr>
          <w:p w:rsidR="00487EC1" w:rsidRDefault="00487EC1">
            <w:pPr>
              <w:spacing w:before="100" w:beforeAutospacing="1" w:after="100" w:afterAutospacing="1"/>
              <w:rPr>
                <w:rFonts w:ascii="Times New Roman" w:hAnsi="Times New Roman" w:cs="Times New Roman"/>
                <w:color w:val="000000"/>
                <w:sz w:val="20"/>
                <w:szCs w:val="20"/>
              </w:rPr>
            </w:pPr>
            <w:r>
              <w:rPr>
                <w:rFonts w:ascii="Times New Roman" w:hAnsi="Times New Roman" w:cs="Times New Roman"/>
                <w:b/>
                <w:bCs/>
                <w:color w:val="000000"/>
                <w:sz w:val="20"/>
                <w:szCs w:val="20"/>
              </w:rPr>
              <w:t>Definition:</w:t>
            </w:r>
            <w:r>
              <w:rPr>
                <w:rFonts w:ascii="Times New Roman" w:hAnsi="Times New Roman" w:cs="Times New Roman"/>
                <w:color w:val="000000"/>
                <w:sz w:val="20"/>
                <w:szCs w:val="20"/>
              </w:rPr>
              <w:t xml:space="preserve"> </w:t>
            </w:r>
            <w:r w:rsidR="005B65DE">
              <w:rPr>
                <w:rFonts w:ascii="Times New Roman" w:hAnsi="Times New Roman" w:cs="Times New Roman"/>
                <w:color w:val="000000"/>
                <w:sz w:val="20"/>
                <w:szCs w:val="20"/>
              </w:rPr>
              <w:t>Was the student in</w:t>
            </w:r>
            <w:r>
              <w:rPr>
                <w:rFonts w:ascii="Times New Roman" w:hAnsi="Times New Roman" w:cs="Times New Roman"/>
                <w:color w:val="000000"/>
                <w:sz w:val="20"/>
                <w:szCs w:val="20"/>
              </w:rPr>
              <w:t xml:space="preserve"> an initial licensure program?</w:t>
            </w:r>
            <w:r w:rsidR="0055379A">
              <w:rPr>
                <w:rFonts w:ascii="Times New Roman" w:hAnsi="Times New Roman" w:cs="Times New Roman"/>
                <w:color w:val="000000"/>
                <w:sz w:val="20"/>
                <w:szCs w:val="20"/>
              </w:rPr>
              <w:t xml:space="preserve"> “Initial licensure program” means a program that is preparing someone to be an educator who has never held an educator license previously.</w:t>
            </w:r>
            <w:r w:rsidR="005B65DE">
              <w:rPr>
                <w:rFonts w:ascii="Times New Roman" w:hAnsi="Times New Roman" w:cs="Times New Roman"/>
                <w:color w:val="000000"/>
                <w:sz w:val="20"/>
                <w:szCs w:val="20"/>
              </w:rPr>
              <w:t xml:space="preserve">  The student may be noted as completing the program in field 22, or not. </w:t>
            </w:r>
            <w:r>
              <w:rPr>
                <w:rFonts w:ascii="Times New Roman" w:hAnsi="Times New Roman" w:cs="Times New Roman"/>
                <w:color w:val="000000"/>
                <w:sz w:val="20"/>
                <w:szCs w:val="20"/>
              </w:rPr>
              <w:br/>
            </w:r>
            <w:r>
              <w:rPr>
                <w:rFonts w:ascii="Times New Roman" w:hAnsi="Times New Roman" w:cs="Times New Roman"/>
                <w:color w:val="000000"/>
                <w:sz w:val="20"/>
                <w:szCs w:val="20"/>
              </w:rPr>
              <w:br/>
            </w:r>
            <w:r>
              <w:rPr>
                <w:rFonts w:ascii="Times New Roman" w:hAnsi="Times New Roman" w:cs="Times New Roman"/>
                <w:b/>
                <w:bCs/>
                <w:color w:val="000000"/>
                <w:sz w:val="20"/>
                <w:szCs w:val="20"/>
              </w:rPr>
              <w:t>Codes/Notes:</w:t>
            </w:r>
            <w:r>
              <w:rPr>
                <w:rFonts w:ascii="Times New Roman" w:hAnsi="Times New Roman" w:cs="Times New Roman"/>
                <w:color w:val="000000"/>
                <w:sz w:val="20"/>
                <w:szCs w:val="20"/>
              </w:rPr>
              <w:t xml:space="preserve"> </w:t>
            </w:r>
            <w:r w:rsidRPr="00F842C4">
              <w:rPr>
                <w:rFonts w:ascii="Times New Roman" w:hAnsi="Times New Roman" w:cs="Times New Roman"/>
                <w:color w:val="000000"/>
                <w:sz w:val="20"/>
                <w:szCs w:val="20"/>
              </w:rPr>
              <w:t xml:space="preserve">This is a yes/no field. </w:t>
            </w:r>
            <w:r w:rsidR="0055379A" w:rsidRPr="00F842C4">
              <w:rPr>
                <w:rFonts w:ascii="Times New Roman" w:eastAsia="Times New Roman" w:hAnsi="Times New Roman" w:cs="Times New Roman"/>
                <w:color w:val="000000"/>
                <w:sz w:val="21"/>
                <w:szCs w:val="21"/>
              </w:rPr>
              <w:t>Field 23 must be a 1 or 0</w:t>
            </w:r>
            <w:r w:rsidR="0055379A" w:rsidRPr="00F842C4">
              <w:rPr>
                <w:rFonts w:ascii="Times New Roman" w:hAnsi="Times New Roman" w:cs="Times New Roman"/>
                <w:color w:val="000000"/>
                <w:sz w:val="20"/>
                <w:szCs w:val="20"/>
              </w:rPr>
              <w:t xml:space="preserve">. </w:t>
            </w:r>
            <w:r w:rsidRPr="00F842C4">
              <w:rPr>
                <w:rFonts w:ascii="Times New Roman" w:hAnsi="Times New Roman" w:cs="Times New Roman"/>
                <w:color w:val="000000"/>
                <w:sz w:val="20"/>
                <w:szCs w:val="20"/>
              </w:rPr>
              <w:t>“1</w:t>
            </w:r>
            <w:r>
              <w:rPr>
                <w:rFonts w:ascii="Times New Roman" w:hAnsi="Times New Roman" w:cs="Times New Roman"/>
                <w:color w:val="000000"/>
                <w:sz w:val="20"/>
                <w:szCs w:val="20"/>
              </w:rPr>
              <w:t xml:space="preserve">” specifies that </w:t>
            </w:r>
            <w:r w:rsidR="005B65DE">
              <w:rPr>
                <w:rFonts w:ascii="Times New Roman" w:hAnsi="Times New Roman" w:cs="Times New Roman"/>
                <w:color w:val="000000"/>
                <w:sz w:val="20"/>
                <w:szCs w:val="20"/>
              </w:rPr>
              <w:t>the student – program data for</w:t>
            </w:r>
            <w:r w:rsidR="000057F4">
              <w:rPr>
                <w:rFonts w:ascii="Times New Roman" w:hAnsi="Times New Roman" w:cs="Times New Roman"/>
                <w:color w:val="000000"/>
                <w:sz w:val="20"/>
                <w:szCs w:val="20"/>
              </w:rPr>
              <w:t xml:space="preserve"> this row of the file represent</w:t>
            </w:r>
            <w:r>
              <w:rPr>
                <w:rFonts w:ascii="Times New Roman" w:hAnsi="Times New Roman" w:cs="Times New Roman"/>
                <w:color w:val="000000"/>
                <w:sz w:val="20"/>
                <w:szCs w:val="20"/>
              </w:rPr>
              <w:t xml:space="preserve"> an initial licensure program </w:t>
            </w:r>
            <w:r w:rsidR="00F842C4">
              <w:rPr>
                <w:rFonts w:ascii="Times New Roman" w:hAnsi="Times New Roman" w:cs="Times New Roman"/>
                <w:color w:val="000000"/>
                <w:sz w:val="20"/>
                <w:szCs w:val="20"/>
              </w:rPr>
              <w:t>and “</w:t>
            </w:r>
            <w:r>
              <w:rPr>
                <w:rFonts w:ascii="Times New Roman" w:hAnsi="Times New Roman" w:cs="Times New Roman"/>
                <w:color w:val="000000"/>
                <w:sz w:val="20"/>
                <w:szCs w:val="20"/>
              </w:rPr>
              <w:t>0” specifies anything</w:t>
            </w:r>
            <w:r w:rsidR="000057F4">
              <w:rPr>
                <w:rFonts w:ascii="Times New Roman" w:hAnsi="Times New Roman" w:cs="Times New Roman"/>
                <w:color w:val="000000"/>
                <w:sz w:val="20"/>
                <w:szCs w:val="20"/>
              </w:rPr>
              <w:t xml:space="preserve"> else, usu</w:t>
            </w:r>
            <w:r w:rsidR="005B65DE">
              <w:rPr>
                <w:rFonts w:ascii="Times New Roman" w:hAnsi="Times New Roman" w:cs="Times New Roman"/>
                <w:color w:val="000000"/>
                <w:sz w:val="20"/>
                <w:szCs w:val="20"/>
              </w:rPr>
              <w:t xml:space="preserve">ally an add-on endorsement.  </w:t>
            </w:r>
            <w:r>
              <w:rPr>
                <w:rFonts w:ascii="Times New Roman" w:hAnsi="Times New Roman" w:cs="Times New Roman"/>
                <w:color w:val="000000"/>
                <w:sz w:val="20"/>
                <w:szCs w:val="20"/>
              </w:rPr>
              <w:br/>
            </w:r>
            <w:r>
              <w:rPr>
                <w:rFonts w:ascii="Times New Roman" w:hAnsi="Times New Roman" w:cs="Times New Roman"/>
                <w:color w:val="000000"/>
                <w:sz w:val="20"/>
                <w:szCs w:val="20"/>
              </w:rPr>
              <w:br/>
            </w:r>
            <w:r>
              <w:rPr>
                <w:rFonts w:ascii="Times New Roman" w:hAnsi="Times New Roman" w:cs="Times New Roman"/>
                <w:b/>
                <w:bCs/>
                <w:color w:val="000000"/>
                <w:sz w:val="20"/>
                <w:szCs w:val="20"/>
              </w:rPr>
              <w:t>Missing Value:</w:t>
            </w:r>
            <w:r>
              <w:rPr>
                <w:rFonts w:ascii="Times New Roman" w:hAnsi="Times New Roman" w:cs="Times New Roman"/>
                <w:color w:val="000000"/>
                <w:sz w:val="20"/>
                <w:szCs w:val="20"/>
              </w:rPr>
              <w:t xml:space="preserve"> Does not apply; field must be completed.</w:t>
            </w:r>
            <w:r>
              <w:rPr>
                <w:rFonts w:ascii="Times New Roman" w:hAnsi="Times New Roman" w:cs="Times New Roman"/>
                <w:color w:val="000000"/>
                <w:sz w:val="20"/>
                <w:szCs w:val="20"/>
              </w:rPr>
              <w:br/>
            </w:r>
            <w:r>
              <w:rPr>
                <w:rFonts w:ascii="Times New Roman" w:hAnsi="Times New Roman" w:cs="Times New Roman"/>
                <w:color w:val="000000"/>
                <w:sz w:val="20"/>
                <w:szCs w:val="20"/>
              </w:rPr>
              <w:br/>
            </w:r>
            <w:r>
              <w:rPr>
                <w:rFonts w:ascii="Times New Roman" w:hAnsi="Times New Roman" w:cs="Times New Roman"/>
                <w:b/>
                <w:bCs/>
                <w:color w:val="000000"/>
                <w:sz w:val="20"/>
                <w:szCs w:val="20"/>
              </w:rPr>
              <w:t>Edit Specs:</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br/>
              <w:t xml:space="preserve">Error if blank (Effective </w:t>
            </w:r>
            <w:r w:rsidR="005B65DE">
              <w:rPr>
                <w:rFonts w:ascii="Times New Roman" w:hAnsi="Times New Roman" w:cs="Times New Roman"/>
                <w:color w:val="000000"/>
                <w:sz w:val="20"/>
                <w:szCs w:val="20"/>
              </w:rPr>
              <w:t xml:space="preserve">with the file for </w:t>
            </w:r>
            <w:r>
              <w:rPr>
                <w:rFonts w:ascii="Times New Roman" w:hAnsi="Times New Roman" w:cs="Times New Roman"/>
                <w:color w:val="000000"/>
                <w:sz w:val="20"/>
                <w:szCs w:val="20"/>
              </w:rPr>
              <w:t>2011-12)</w:t>
            </w:r>
            <w:r>
              <w:rPr>
                <w:rFonts w:ascii="Times New Roman" w:hAnsi="Times New Roman" w:cs="Times New Roman"/>
                <w:color w:val="000000"/>
                <w:sz w:val="20"/>
                <w:szCs w:val="20"/>
              </w:rPr>
              <w:br/>
              <w:t>Error if not 1 or 0</w:t>
            </w:r>
            <w:r>
              <w:rPr>
                <w:rFonts w:ascii="Times New Roman" w:hAnsi="Times New Roman" w:cs="Times New Roman"/>
                <w:color w:val="000000"/>
                <w:sz w:val="20"/>
                <w:szCs w:val="20"/>
              </w:rPr>
              <w:br/>
            </w:r>
            <w:r>
              <w:rPr>
                <w:rFonts w:ascii="Times New Roman" w:hAnsi="Times New Roman" w:cs="Times New Roman"/>
                <w:color w:val="000000"/>
                <w:sz w:val="20"/>
                <w:szCs w:val="20"/>
              </w:rPr>
              <w:br/>
            </w:r>
            <w:r>
              <w:rPr>
                <w:rFonts w:ascii="Times New Roman" w:hAnsi="Times New Roman" w:cs="Times New Roman"/>
                <w:b/>
                <w:bCs/>
                <w:color w:val="000000"/>
                <w:sz w:val="20"/>
                <w:szCs w:val="20"/>
              </w:rPr>
              <w:t>Format:</w:t>
            </w:r>
            <w:r>
              <w:rPr>
                <w:rFonts w:ascii="Times New Roman" w:hAnsi="Times New Roman" w:cs="Times New Roman"/>
                <w:color w:val="000000"/>
                <w:sz w:val="20"/>
                <w:szCs w:val="20"/>
              </w:rPr>
              <w:t xml:space="preserve"> Numeric, 1 place integer</w:t>
            </w:r>
          </w:p>
          <w:p w:rsidR="00487EC1" w:rsidRDefault="00487EC1">
            <w:pPr>
              <w:spacing w:before="100" w:beforeAutospacing="1" w:after="100" w:afterAutospacing="1"/>
              <w:rPr>
                <w:rFonts w:ascii="Times New Roman" w:hAnsi="Times New Roman" w:cs="Times New Roman"/>
                <w:color w:val="000000"/>
                <w:sz w:val="20"/>
                <w:szCs w:val="20"/>
              </w:rPr>
            </w:pPr>
            <w:r>
              <w:rPr>
                <w:rFonts w:ascii="Times New Roman" w:hAnsi="Times New Roman" w:cs="Times New Roman"/>
                <w:b/>
                <w:bCs/>
                <w:color w:val="000000"/>
                <w:sz w:val="20"/>
                <w:szCs w:val="20"/>
              </w:rPr>
              <w:t>Updates:</w:t>
            </w:r>
            <w:r>
              <w:rPr>
                <w:rFonts w:ascii="Times New Roman" w:hAnsi="Times New Roman" w:cs="Times New Roman"/>
                <w:color w:val="000000"/>
                <w:sz w:val="20"/>
                <w:szCs w:val="20"/>
              </w:rPr>
              <w:t xml:space="preserve"> Added – July 2012;</w:t>
            </w:r>
          </w:p>
          <w:p w:rsidR="00487EC1" w:rsidRPr="0055379A" w:rsidRDefault="0055379A">
            <w:pPr>
              <w:spacing w:before="100" w:beforeAutospacing="1" w:after="100" w:afterAutospacing="1"/>
              <w:rPr>
                <w:rFonts w:ascii="Times New Roman" w:hAnsi="Times New Roman" w:cs="Times New Roman"/>
                <w:b/>
                <w:bCs/>
                <w:color w:val="000000"/>
                <w:sz w:val="20"/>
                <w:szCs w:val="20"/>
              </w:rPr>
            </w:pPr>
            <w:r>
              <w:rPr>
                <w:rFonts w:ascii="Times New Roman" w:eastAsia="Times New Roman" w:hAnsi="Times New Roman" w:cs="Times New Roman"/>
                <w:b/>
                <w:color w:val="000000"/>
                <w:sz w:val="21"/>
                <w:szCs w:val="21"/>
              </w:rPr>
              <w:t>T</w:t>
            </w:r>
            <w:r w:rsidRPr="0055379A">
              <w:rPr>
                <w:rFonts w:ascii="Times New Roman" w:eastAsia="Times New Roman" w:hAnsi="Times New Roman" w:cs="Times New Roman"/>
                <w:b/>
                <w:color w:val="000000"/>
                <w:sz w:val="21"/>
                <w:szCs w:val="21"/>
              </w:rPr>
              <w:t xml:space="preserve">here are </w:t>
            </w:r>
            <w:r w:rsidRPr="0055379A">
              <w:rPr>
                <w:rFonts w:ascii="Times New Roman" w:eastAsia="Times New Roman" w:hAnsi="Times New Roman" w:cs="Times New Roman"/>
                <w:b/>
                <w:bCs/>
                <w:color w:val="000000"/>
                <w:sz w:val="21"/>
                <w:szCs w:val="21"/>
              </w:rPr>
              <w:t>four</w:t>
            </w:r>
            <w:r w:rsidRPr="0055379A">
              <w:rPr>
                <w:rFonts w:ascii="Times New Roman" w:eastAsia="Times New Roman" w:hAnsi="Times New Roman" w:cs="Times New Roman"/>
                <w:b/>
                <w:color w:val="000000"/>
                <w:sz w:val="21"/>
                <w:szCs w:val="21"/>
              </w:rPr>
              <w:t xml:space="preserve"> allowable combinations of Fields 22 and 23: </w:t>
            </w:r>
            <w:bookmarkStart w:id="1" w:name="_GoBack"/>
            <w:bookmarkEnd w:id="1"/>
          </w:p>
          <w:p w:rsidR="00487EC1" w:rsidRDefault="00487EC1">
            <w:pPr>
              <w:spacing w:before="100" w:beforeAutospacing="1" w:after="100" w:afterAutospacing="1"/>
              <w:rPr>
                <w:rFonts w:ascii="Times New Roman" w:hAnsi="Times New Roman" w:cs="Times New Roman"/>
                <w:color w:val="000000"/>
                <w:sz w:val="20"/>
                <w:szCs w:val="20"/>
                <w:u w:val="single"/>
              </w:rPr>
            </w:pPr>
            <w:r>
              <w:rPr>
                <w:rFonts w:ascii="Times New Roman" w:hAnsi="Times New Roman" w:cs="Times New Roman"/>
                <w:color w:val="000000"/>
                <w:sz w:val="20"/>
                <w:szCs w:val="20"/>
                <w:u w:val="single"/>
              </w:rPr>
              <w:t>Field 22</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u w:val="single"/>
              </w:rPr>
              <w:t>Field 23</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u w:val="single"/>
              </w:rPr>
              <w:t>Signifies</w:t>
            </w:r>
          </w:p>
          <w:p w:rsidR="00487EC1" w:rsidRDefault="00487EC1">
            <w:pPr>
              <w:spacing w:before="100" w:beforeAutospacing="1" w:after="100" w:afterAutospacing="1"/>
              <w:rPr>
                <w:rFonts w:ascii="Times New Roman" w:hAnsi="Times New Roman" w:cs="Times New Roman"/>
                <w:color w:val="000000"/>
                <w:sz w:val="20"/>
                <w:szCs w:val="20"/>
              </w:rPr>
            </w:pPr>
            <w:r>
              <w:rPr>
                <w:rFonts w:ascii="Times New Roman" w:hAnsi="Times New Roman" w:cs="Times New Roman"/>
                <w:color w:val="000000"/>
                <w:sz w:val="20"/>
                <w:szCs w:val="20"/>
              </w:rPr>
              <w:t>     1                1      =  Completed an initial licensure program</w:t>
            </w:r>
          </w:p>
          <w:p w:rsidR="00487EC1" w:rsidRDefault="00487EC1">
            <w:pPr>
              <w:spacing w:before="100" w:beforeAutospacing="1" w:after="100" w:afterAutospacing="1"/>
              <w:rPr>
                <w:rFonts w:ascii="Times New Roman" w:hAnsi="Times New Roman" w:cs="Times New Roman"/>
                <w:color w:val="000000"/>
                <w:sz w:val="20"/>
                <w:szCs w:val="20"/>
              </w:rPr>
            </w:pPr>
            <w:r>
              <w:rPr>
                <w:rFonts w:ascii="Times New Roman" w:hAnsi="Times New Roman" w:cs="Times New Roman"/>
                <w:color w:val="000000"/>
                <w:sz w:val="20"/>
                <w:szCs w:val="20"/>
              </w:rPr>
              <w:t>     1                0      =  Completed an add-on endorsement (candidate was already licensed)</w:t>
            </w:r>
          </w:p>
          <w:p w:rsidR="00487EC1" w:rsidRDefault="00487EC1">
            <w:pPr>
              <w:spacing w:before="100" w:beforeAutospacing="1" w:after="100" w:afterAutospacing="1"/>
              <w:rPr>
                <w:rFonts w:ascii="Times New Roman" w:hAnsi="Times New Roman" w:cs="Times New Roman"/>
                <w:color w:val="000000"/>
                <w:sz w:val="20"/>
                <w:szCs w:val="20"/>
              </w:rPr>
            </w:pPr>
            <w:r>
              <w:rPr>
                <w:rFonts w:ascii="Times New Roman" w:hAnsi="Times New Roman" w:cs="Times New Roman"/>
                <w:color w:val="000000"/>
                <w:sz w:val="20"/>
                <w:szCs w:val="20"/>
              </w:rPr>
              <w:t>     0                0      =  Not a completer</w:t>
            </w:r>
            <w:r w:rsidR="0055379A">
              <w:rPr>
                <w:rFonts w:ascii="Times New Roman" w:hAnsi="Times New Roman" w:cs="Times New Roman"/>
                <w:color w:val="000000"/>
                <w:sz w:val="20"/>
                <w:szCs w:val="20"/>
              </w:rPr>
              <w:t xml:space="preserve"> in an initial licensure program</w:t>
            </w:r>
          </w:p>
          <w:p w:rsidR="0055379A" w:rsidRDefault="0055379A" w:rsidP="0055379A">
            <w:pPr>
              <w:spacing w:before="100" w:beforeAutospacing="1" w:after="100" w:afterAutospacing="1"/>
              <w:rPr>
                <w:rFonts w:ascii="Times New Roman" w:hAnsi="Times New Roman" w:cs="Times New Roman"/>
                <w:color w:val="000000"/>
                <w:sz w:val="20"/>
                <w:szCs w:val="20"/>
              </w:rPr>
            </w:pPr>
            <w:r>
              <w:rPr>
                <w:rFonts w:ascii="Times New Roman" w:hAnsi="Times New Roman" w:cs="Times New Roman"/>
                <w:color w:val="000000"/>
                <w:sz w:val="20"/>
                <w:szCs w:val="20"/>
              </w:rPr>
              <w:t xml:space="preserve">     0                1     =   Not a completer in an add-on endorsement (candidate was already licensed)</w:t>
            </w:r>
          </w:p>
        </w:tc>
      </w:tr>
    </w:tbl>
    <w:p w:rsidR="000057F4" w:rsidRDefault="000057F4" w:rsidP="00487EC1"/>
    <w:p w:rsidR="000057F4" w:rsidRDefault="000057F4" w:rsidP="00487EC1"/>
    <w:p w:rsidR="000057F4" w:rsidRDefault="000057F4" w:rsidP="00487EC1"/>
    <w:p w:rsidR="001516E4" w:rsidRDefault="001516E4" w:rsidP="00487EC1"/>
    <w:p w:rsidR="000057F4" w:rsidRDefault="000057F4" w:rsidP="00487EC1"/>
    <w:p w:rsidR="000057F4" w:rsidRPr="000057F4" w:rsidRDefault="005B65DE" w:rsidP="00487EC1">
      <w:pPr>
        <w:rPr>
          <w:u w:val="single"/>
        </w:rPr>
      </w:pPr>
      <w:r w:rsidRPr="000057F4">
        <w:rPr>
          <w:u w:val="single"/>
        </w:rPr>
        <w:lastRenderedPageBreak/>
        <w:t>Lou</w:t>
      </w:r>
      <w:r w:rsidR="000057F4" w:rsidRPr="000057F4">
        <w:rPr>
          <w:u w:val="single"/>
        </w:rPr>
        <w:t>’</w:t>
      </w:r>
      <w:r w:rsidR="000057F4">
        <w:rPr>
          <w:u w:val="single"/>
        </w:rPr>
        <w:t>s Q</w:t>
      </w:r>
      <w:r w:rsidR="000057F4" w:rsidRPr="000057F4">
        <w:rPr>
          <w:u w:val="single"/>
        </w:rPr>
        <w:t>uestions</w:t>
      </w:r>
      <w:r w:rsidR="000057F4">
        <w:rPr>
          <w:u w:val="single"/>
        </w:rPr>
        <w:t xml:space="preserve"> and answers with Karen’s </w:t>
      </w:r>
      <w:r w:rsidR="001516E4">
        <w:rPr>
          <w:u w:val="single"/>
        </w:rPr>
        <w:t>input</w:t>
      </w:r>
      <w:r w:rsidRPr="000057F4">
        <w:rPr>
          <w:u w:val="single"/>
        </w:rPr>
        <w:t>:</w:t>
      </w:r>
    </w:p>
    <w:p w:rsidR="005B65DE" w:rsidRDefault="000057F4" w:rsidP="00487EC1">
      <w:r>
        <w:t>Q:</w:t>
      </w:r>
      <w:r w:rsidR="005B65DE">
        <w:t xml:space="preserve"> If the student has initial licensure in elementary, and then later gets licensed for HS history, should the submission with enrollment in and completion of history be initial licensure [because it usually is] or not [because this student had licensure already]?  </w:t>
      </w:r>
    </w:p>
    <w:p w:rsidR="000057F4" w:rsidRDefault="000057F4" w:rsidP="00487EC1">
      <w:r>
        <w:t xml:space="preserve">A: </w:t>
      </w:r>
      <w:r>
        <w:rPr>
          <w:rStyle w:val="apple-style-span"/>
          <w:color w:val="000000"/>
          <w:sz w:val="21"/>
          <w:szCs w:val="21"/>
        </w:rPr>
        <w:t>The answer is NOT.  The field is indeed a property of the area x student combination, not just the area. That is what the definition says!  </w:t>
      </w:r>
    </w:p>
    <w:p w:rsidR="005B65DE" w:rsidRDefault="005B65DE" w:rsidP="00487EC1"/>
    <w:p w:rsidR="00250887" w:rsidRDefault="000057F4" w:rsidP="000057F4">
      <w:pPr>
        <w:autoSpaceDE w:val="0"/>
        <w:autoSpaceDN w:val="0"/>
        <w:adjustRightInd w:val="0"/>
      </w:pPr>
      <w:r>
        <w:t xml:space="preserve">Q: </w:t>
      </w:r>
      <w:r w:rsidR="00250887">
        <w:t>If not, why not?  Can someone report that student X, who is only in “</w:t>
      </w:r>
      <w:r w:rsidR="00250887" w:rsidRPr="000057F4">
        <w:t>Culturally and Linguistically Diverse Bilingual Education</w:t>
      </w:r>
      <w:r w:rsidR="00250887">
        <w:t xml:space="preserve"> </w:t>
      </w:r>
      <w:r w:rsidR="00250887" w:rsidRPr="000057F4">
        <w:t>SPECIALIST (8.23)</w:t>
      </w:r>
      <w:proofErr w:type="gramStart"/>
      <w:r w:rsidR="00250887">
        <w:t>,</w:t>
      </w:r>
      <w:r w:rsidR="00250887" w:rsidRPr="000057F4">
        <w:t>”</w:t>
      </w:r>
      <w:proofErr w:type="gramEnd"/>
      <w:r w:rsidR="00250887" w:rsidRPr="000057F4">
        <w:t xml:space="preserve"> </w:t>
      </w:r>
      <w:r w:rsidR="00250887">
        <w:t xml:space="preserve">is “initial licensure”?  Why?  </w:t>
      </w:r>
    </w:p>
    <w:p w:rsidR="000057F4" w:rsidRDefault="000057F4" w:rsidP="000057F4">
      <w:pPr>
        <w:rPr>
          <w:color w:val="000000"/>
          <w:sz w:val="21"/>
          <w:szCs w:val="21"/>
        </w:rPr>
      </w:pPr>
      <w:r>
        <w:t>A: T</w:t>
      </w:r>
      <w:r>
        <w:rPr>
          <w:color w:val="000000"/>
          <w:sz w:val="21"/>
          <w:szCs w:val="21"/>
        </w:rPr>
        <w:t xml:space="preserve">here are nevertheless some areas, such as 8.23, that are ineligible for initial licensure.  Those should be clearly </w:t>
      </w:r>
      <w:proofErr w:type="gramStart"/>
      <w:r>
        <w:rPr>
          <w:color w:val="000000"/>
          <w:sz w:val="21"/>
          <w:szCs w:val="21"/>
        </w:rPr>
        <w:t>defined/marked</w:t>
      </w:r>
      <w:proofErr w:type="gramEnd"/>
      <w:r>
        <w:rPr>
          <w:color w:val="000000"/>
          <w:sz w:val="21"/>
          <w:szCs w:val="21"/>
        </w:rPr>
        <w:t xml:space="preserve"> in the database of areas and codes, with an "initial licensure" field.    The edit would then disallow a 1 in field 23 if the area is NOT an initial licensure area ever.  </w:t>
      </w:r>
    </w:p>
    <w:p w:rsidR="000057F4" w:rsidRDefault="000057F4" w:rsidP="000057F4">
      <w:pPr>
        <w:autoSpaceDE w:val="0"/>
        <w:autoSpaceDN w:val="0"/>
        <w:adjustRightInd w:val="0"/>
      </w:pPr>
    </w:p>
    <w:p w:rsidR="00083DE3" w:rsidRDefault="00083DE3" w:rsidP="00083DE3">
      <w:pPr>
        <w:autoSpaceDE w:val="0"/>
        <w:autoSpaceDN w:val="0"/>
        <w:adjustRightInd w:val="0"/>
      </w:pPr>
    </w:p>
    <w:p w:rsidR="00DA4F6F" w:rsidRDefault="00DA4F6F" w:rsidP="00083DE3">
      <w:pPr>
        <w:autoSpaceDE w:val="0"/>
        <w:autoSpaceDN w:val="0"/>
        <w:adjustRightInd w:val="0"/>
      </w:pPr>
    </w:p>
    <w:p w:rsidR="00C2589D" w:rsidRPr="001516E4" w:rsidRDefault="000057F4" w:rsidP="00083DE3">
      <w:pPr>
        <w:autoSpaceDE w:val="0"/>
        <w:autoSpaceDN w:val="0"/>
        <w:adjustRightInd w:val="0"/>
        <w:rPr>
          <w:b/>
        </w:rPr>
      </w:pPr>
      <w:r w:rsidRPr="001516E4">
        <w:rPr>
          <w:b/>
        </w:rPr>
        <w:t>Related Question:</w:t>
      </w:r>
    </w:p>
    <w:p w:rsidR="00C2589D" w:rsidRDefault="00C2589D" w:rsidP="00083DE3">
      <w:pPr>
        <w:autoSpaceDE w:val="0"/>
        <w:autoSpaceDN w:val="0"/>
        <w:adjustRightInd w:val="0"/>
      </w:pPr>
      <w:r w:rsidRPr="000057F4">
        <w:t>Do we need CIP codes for private IHEs’ degree programs?</w:t>
      </w:r>
    </w:p>
    <w:p w:rsidR="000057F4" w:rsidRDefault="000057F4" w:rsidP="00083DE3">
      <w:pPr>
        <w:autoSpaceDE w:val="0"/>
        <w:autoSpaceDN w:val="0"/>
        <w:adjustRightInd w:val="0"/>
      </w:pPr>
    </w:p>
    <w:p w:rsidR="000057F4" w:rsidRDefault="000057F4" w:rsidP="00083DE3">
      <w:pPr>
        <w:autoSpaceDE w:val="0"/>
        <w:autoSpaceDN w:val="0"/>
        <w:adjustRightInd w:val="0"/>
      </w:pPr>
      <w:r>
        <w:t xml:space="preserve">The </w:t>
      </w:r>
      <w:r w:rsidRPr="000057F4">
        <w:rPr>
          <w:i/>
        </w:rPr>
        <w:t>Approved Educator Preparation Programs in Colorado</w:t>
      </w:r>
      <w:r>
        <w:t xml:space="preserve"> list that DHE currently keeps (the link is toward the bottom of the page at </w:t>
      </w:r>
      <w:hyperlink r:id="rId9" w:history="1">
        <w:r w:rsidRPr="00623E83">
          <w:rPr>
            <w:rStyle w:val="Hyperlink"/>
          </w:rPr>
          <w:t>http://highered.colorado.gov/Academics/TeacherEd/Educators.html</w:t>
        </w:r>
      </w:hyperlink>
      <w:r>
        <w:t xml:space="preserve">) does not record the CIP for degree program at private IHEs because, historically, DHE has never collected this from the privates. </w:t>
      </w:r>
    </w:p>
    <w:p w:rsidR="000057F4" w:rsidRDefault="000057F4" w:rsidP="000057F4">
      <w:pPr>
        <w:pStyle w:val="ListParagraph"/>
        <w:numPr>
          <w:ilvl w:val="0"/>
          <w:numId w:val="3"/>
        </w:numPr>
        <w:autoSpaceDE w:val="0"/>
        <w:autoSpaceDN w:val="0"/>
        <w:adjustRightInd w:val="0"/>
      </w:pPr>
      <w:r>
        <w:t>Do the privates use CIPs and report them to IPEDS or other?</w:t>
      </w:r>
    </w:p>
    <w:p w:rsidR="000057F4" w:rsidRDefault="000057F4" w:rsidP="000057F4">
      <w:pPr>
        <w:pStyle w:val="ListParagraph"/>
        <w:numPr>
          <w:ilvl w:val="0"/>
          <w:numId w:val="3"/>
        </w:numPr>
        <w:autoSpaceDE w:val="0"/>
        <w:autoSpaceDN w:val="0"/>
        <w:adjustRightInd w:val="0"/>
      </w:pPr>
      <w:r>
        <w:t>Could the privates report the CIPs on the list above to DHE?</w:t>
      </w:r>
    </w:p>
    <w:p w:rsidR="000057F4" w:rsidRDefault="000057F4" w:rsidP="000057F4">
      <w:pPr>
        <w:pStyle w:val="ListParagraph"/>
        <w:numPr>
          <w:ilvl w:val="0"/>
          <w:numId w:val="3"/>
        </w:numPr>
        <w:autoSpaceDE w:val="0"/>
        <w:autoSpaceDN w:val="0"/>
        <w:adjustRightInd w:val="0"/>
      </w:pPr>
      <w:r>
        <w:t>Would this be useful for current and future research?</w:t>
      </w:r>
    </w:p>
    <w:p w:rsidR="00DD3666" w:rsidRDefault="00DD3666" w:rsidP="00DD3666">
      <w:pPr>
        <w:autoSpaceDE w:val="0"/>
        <w:autoSpaceDN w:val="0"/>
        <w:adjustRightInd w:val="0"/>
      </w:pPr>
    </w:p>
    <w:p w:rsidR="00DD3666" w:rsidRDefault="00DD3666" w:rsidP="00DD3666">
      <w:pPr>
        <w:autoSpaceDE w:val="0"/>
        <w:autoSpaceDN w:val="0"/>
        <w:adjustRightInd w:val="0"/>
      </w:pPr>
    </w:p>
    <w:p w:rsidR="00DD3666" w:rsidRDefault="00DD3666" w:rsidP="00DD3666">
      <w:pPr>
        <w:autoSpaceDE w:val="0"/>
        <w:autoSpaceDN w:val="0"/>
        <w:adjustRightInd w:val="0"/>
        <w:rPr>
          <w:b/>
        </w:rPr>
      </w:pPr>
      <w:r>
        <w:rPr>
          <w:b/>
        </w:rPr>
        <w:t>Other:</w:t>
      </w:r>
    </w:p>
    <w:p w:rsidR="00DD3666" w:rsidRPr="00DD3666" w:rsidRDefault="00DD3666" w:rsidP="00DD3666">
      <w:pPr>
        <w:autoSpaceDE w:val="0"/>
        <w:autoSpaceDN w:val="0"/>
        <w:adjustRightInd w:val="0"/>
      </w:pPr>
      <w:r>
        <w:t>Do we need to, could we, take CDL off and leave LDE? What about last year?</w:t>
      </w:r>
    </w:p>
    <w:sectPr w:rsidR="00DD3666" w:rsidRPr="00DD3666" w:rsidSect="004B6D8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7F4" w:rsidRDefault="000057F4" w:rsidP="000057F4">
      <w:r>
        <w:separator/>
      </w:r>
    </w:p>
  </w:endnote>
  <w:endnote w:type="continuationSeparator" w:id="0">
    <w:p w:rsidR="000057F4" w:rsidRDefault="000057F4" w:rsidP="00005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7703278"/>
      <w:docPartObj>
        <w:docPartGallery w:val="Page Numbers (Bottom of Page)"/>
        <w:docPartUnique/>
      </w:docPartObj>
    </w:sdtPr>
    <w:sdtEndPr>
      <w:rPr>
        <w:noProof/>
      </w:rPr>
    </w:sdtEndPr>
    <w:sdtContent>
      <w:p w:rsidR="000057F4" w:rsidRDefault="000057F4">
        <w:pPr>
          <w:pStyle w:val="Footer"/>
          <w:jc w:val="center"/>
        </w:pPr>
        <w:r>
          <w:t xml:space="preserve">Pg. </w:t>
        </w:r>
        <w:r>
          <w:fldChar w:fldCharType="begin"/>
        </w:r>
        <w:r>
          <w:instrText xml:space="preserve"> PAGE   \* MERGEFORMAT </w:instrText>
        </w:r>
        <w:r>
          <w:fldChar w:fldCharType="separate"/>
        </w:r>
        <w:r w:rsidR="00766376">
          <w:rPr>
            <w:noProof/>
          </w:rPr>
          <w:t>2</w:t>
        </w:r>
        <w:r>
          <w:rPr>
            <w:noProof/>
          </w:rPr>
          <w:fldChar w:fldCharType="end"/>
        </w:r>
      </w:p>
    </w:sdtContent>
  </w:sdt>
  <w:p w:rsidR="000057F4" w:rsidRDefault="000057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7F4" w:rsidRDefault="000057F4" w:rsidP="000057F4">
      <w:r>
        <w:separator/>
      </w:r>
    </w:p>
  </w:footnote>
  <w:footnote w:type="continuationSeparator" w:id="0">
    <w:p w:rsidR="000057F4" w:rsidRDefault="000057F4" w:rsidP="000057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B5CDD"/>
    <w:multiLevelType w:val="hybridMultilevel"/>
    <w:tmpl w:val="2AAA23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1D57969"/>
    <w:multiLevelType w:val="hybridMultilevel"/>
    <w:tmpl w:val="FD1CB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EC1"/>
    <w:rsid w:val="000057F4"/>
    <w:rsid w:val="00083DE3"/>
    <w:rsid w:val="000D4F24"/>
    <w:rsid w:val="00104CA3"/>
    <w:rsid w:val="001516E4"/>
    <w:rsid w:val="00250887"/>
    <w:rsid w:val="003D59C6"/>
    <w:rsid w:val="00487EC1"/>
    <w:rsid w:val="00494B58"/>
    <w:rsid w:val="004B6D80"/>
    <w:rsid w:val="0055379A"/>
    <w:rsid w:val="005B65DE"/>
    <w:rsid w:val="00766376"/>
    <w:rsid w:val="00AB7454"/>
    <w:rsid w:val="00C2589D"/>
    <w:rsid w:val="00D50AC7"/>
    <w:rsid w:val="00DA4F6F"/>
    <w:rsid w:val="00DD3666"/>
    <w:rsid w:val="00E5007B"/>
    <w:rsid w:val="00F84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EC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7EC1"/>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487EC1"/>
    <w:pPr>
      <w:ind w:left="720"/>
    </w:pPr>
  </w:style>
  <w:style w:type="character" w:styleId="Strong">
    <w:name w:val="Strong"/>
    <w:basedOn w:val="DefaultParagraphFont"/>
    <w:uiPriority w:val="22"/>
    <w:qFormat/>
    <w:rsid w:val="00487EC1"/>
    <w:rPr>
      <w:b/>
      <w:bCs/>
    </w:rPr>
  </w:style>
  <w:style w:type="character" w:customStyle="1" w:styleId="apple-style-span">
    <w:name w:val="apple-style-span"/>
    <w:basedOn w:val="DefaultParagraphFont"/>
    <w:rsid w:val="0055379A"/>
  </w:style>
  <w:style w:type="paragraph" w:styleId="BalloonText">
    <w:name w:val="Balloon Text"/>
    <w:basedOn w:val="Normal"/>
    <w:link w:val="BalloonTextChar"/>
    <w:uiPriority w:val="99"/>
    <w:semiHidden/>
    <w:unhideWhenUsed/>
    <w:rsid w:val="00AB7454"/>
    <w:rPr>
      <w:rFonts w:ascii="Tahoma" w:hAnsi="Tahoma" w:cs="Tahoma"/>
      <w:sz w:val="16"/>
      <w:szCs w:val="16"/>
    </w:rPr>
  </w:style>
  <w:style w:type="character" w:customStyle="1" w:styleId="BalloonTextChar">
    <w:name w:val="Balloon Text Char"/>
    <w:basedOn w:val="DefaultParagraphFont"/>
    <w:link w:val="BalloonText"/>
    <w:uiPriority w:val="99"/>
    <w:semiHidden/>
    <w:rsid w:val="00AB7454"/>
    <w:rPr>
      <w:rFonts w:ascii="Tahoma" w:hAnsi="Tahoma" w:cs="Tahoma"/>
      <w:sz w:val="16"/>
      <w:szCs w:val="16"/>
    </w:rPr>
  </w:style>
  <w:style w:type="character" w:styleId="Hyperlink">
    <w:name w:val="Hyperlink"/>
    <w:basedOn w:val="DefaultParagraphFont"/>
    <w:uiPriority w:val="99"/>
    <w:unhideWhenUsed/>
    <w:rsid w:val="00104CA3"/>
    <w:rPr>
      <w:color w:val="0000FF" w:themeColor="hyperlink"/>
      <w:u w:val="single"/>
    </w:rPr>
  </w:style>
  <w:style w:type="character" w:styleId="FollowedHyperlink">
    <w:name w:val="FollowedHyperlink"/>
    <w:basedOn w:val="DefaultParagraphFont"/>
    <w:uiPriority w:val="99"/>
    <w:semiHidden/>
    <w:unhideWhenUsed/>
    <w:rsid w:val="00104CA3"/>
    <w:rPr>
      <w:color w:val="800080" w:themeColor="followedHyperlink"/>
      <w:u w:val="single"/>
    </w:rPr>
  </w:style>
  <w:style w:type="paragraph" w:styleId="Header">
    <w:name w:val="header"/>
    <w:basedOn w:val="Normal"/>
    <w:link w:val="HeaderChar"/>
    <w:uiPriority w:val="99"/>
    <w:unhideWhenUsed/>
    <w:rsid w:val="000057F4"/>
    <w:pPr>
      <w:tabs>
        <w:tab w:val="center" w:pos="4680"/>
        <w:tab w:val="right" w:pos="9360"/>
      </w:tabs>
    </w:pPr>
  </w:style>
  <w:style w:type="character" w:customStyle="1" w:styleId="HeaderChar">
    <w:name w:val="Header Char"/>
    <w:basedOn w:val="DefaultParagraphFont"/>
    <w:link w:val="Header"/>
    <w:uiPriority w:val="99"/>
    <w:rsid w:val="000057F4"/>
    <w:rPr>
      <w:rFonts w:ascii="Calibri" w:hAnsi="Calibri" w:cs="Calibri"/>
    </w:rPr>
  </w:style>
  <w:style w:type="paragraph" w:styleId="Footer">
    <w:name w:val="footer"/>
    <w:basedOn w:val="Normal"/>
    <w:link w:val="FooterChar"/>
    <w:uiPriority w:val="99"/>
    <w:unhideWhenUsed/>
    <w:rsid w:val="000057F4"/>
    <w:pPr>
      <w:tabs>
        <w:tab w:val="center" w:pos="4680"/>
        <w:tab w:val="right" w:pos="9360"/>
      </w:tabs>
    </w:pPr>
  </w:style>
  <w:style w:type="character" w:customStyle="1" w:styleId="FooterChar">
    <w:name w:val="Footer Char"/>
    <w:basedOn w:val="DefaultParagraphFont"/>
    <w:link w:val="Footer"/>
    <w:uiPriority w:val="99"/>
    <w:rsid w:val="000057F4"/>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EC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7EC1"/>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487EC1"/>
    <w:pPr>
      <w:ind w:left="720"/>
    </w:pPr>
  </w:style>
  <w:style w:type="character" w:styleId="Strong">
    <w:name w:val="Strong"/>
    <w:basedOn w:val="DefaultParagraphFont"/>
    <w:uiPriority w:val="22"/>
    <w:qFormat/>
    <w:rsid w:val="00487EC1"/>
    <w:rPr>
      <w:b/>
      <w:bCs/>
    </w:rPr>
  </w:style>
  <w:style w:type="character" w:customStyle="1" w:styleId="apple-style-span">
    <w:name w:val="apple-style-span"/>
    <w:basedOn w:val="DefaultParagraphFont"/>
    <w:rsid w:val="0055379A"/>
  </w:style>
  <w:style w:type="paragraph" w:styleId="BalloonText">
    <w:name w:val="Balloon Text"/>
    <w:basedOn w:val="Normal"/>
    <w:link w:val="BalloonTextChar"/>
    <w:uiPriority w:val="99"/>
    <w:semiHidden/>
    <w:unhideWhenUsed/>
    <w:rsid w:val="00AB7454"/>
    <w:rPr>
      <w:rFonts w:ascii="Tahoma" w:hAnsi="Tahoma" w:cs="Tahoma"/>
      <w:sz w:val="16"/>
      <w:szCs w:val="16"/>
    </w:rPr>
  </w:style>
  <w:style w:type="character" w:customStyle="1" w:styleId="BalloonTextChar">
    <w:name w:val="Balloon Text Char"/>
    <w:basedOn w:val="DefaultParagraphFont"/>
    <w:link w:val="BalloonText"/>
    <w:uiPriority w:val="99"/>
    <w:semiHidden/>
    <w:rsid w:val="00AB7454"/>
    <w:rPr>
      <w:rFonts w:ascii="Tahoma" w:hAnsi="Tahoma" w:cs="Tahoma"/>
      <w:sz w:val="16"/>
      <w:szCs w:val="16"/>
    </w:rPr>
  </w:style>
  <w:style w:type="character" w:styleId="Hyperlink">
    <w:name w:val="Hyperlink"/>
    <w:basedOn w:val="DefaultParagraphFont"/>
    <w:uiPriority w:val="99"/>
    <w:unhideWhenUsed/>
    <w:rsid w:val="00104CA3"/>
    <w:rPr>
      <w:color w:val="0000FF" w:themeColor="hyperlink"/>
      <w:u w:val="single"/>
    </w:rPr>
  </w:style>
  <w:style w:type="character" w:styleId="FollowedHyperlink">
    <w:name w:val="FollowedHyperlink"/>
    <w:basedOn w:val="DefaultParagraphFont"/>
    <w:uiPriority w:val="99"/>
    <w:semiHidden/>
    <w:unhideWhenUsed/>
    <w:rsid w:val="00104CA3"/>
    <w:rPr>
      <w:color w:val="800080" w:themeColor="followedHyperlink"/>
      <w:u w:val="single"/>
    </w:rPr>
  </w:style>
  <w:style w:type="paragraph" w:styleId="Header">
    <w:name w:val="header"/>
    <w:basedOn w:val="Normal"/>
    <w:link w:val="HeaderChar"/>
    <w:uiPriority w:val="99"/>
    <w:unhideWhenUsed/>
    <w:rsid w:val="000057F4"/>
    <w:pPr>
      <w:tabs>
        <w:tab w:val="center" w:pos="4680"/>
        <w:tab w:val="right" w:pos="9360"/>
      </w:tabs>
    </w:pPr>
  </w:style>
  <w:style w:type="character" w:customStyle="1" w:styleId="HeaderChar">
    <w:name w:val="Header Char"/>
    <w:basedOn w:val="DefaultParagraphFont"/>
    <w:link w:val="Header"/>
    <w:uiPriority w:val="99"/>
    <w:rsid w:val="000057F4"/>
    <w:rPr>
      <w:rFonts w:ascii="Calibri" w:hAnsi="Calibri" w:cs="Calibri"/>
    </w:rPr>
  </w:style>
  <w:style w:type="paragraph" w:styleId="Footer">
    <w:name w:val="footer"/>
    <w:basedOn w:val="Normal"/>
    <w:link w:val="FooterChar"/>
    <w:uiPriority w:val="99"/>
    <w:unhideWhenUsed/>
    <w:rsid w:val="000057F4"/>
    <w:pPr>
      <w:tabs>
        <w:tab w:val="center" w:pos="4680"/>
        <w:tab w:val="right" w:pos="9360"/>
      </w:tabs>
    </w:pPr>
  </w:style>
  <w:style w:type="character" w:customStyle="1" w:styleId="FooterChar">
    <w:name w:val="Footer Char"/>
    <w:basedOn w:val="DefaultParagraphFont"/>
    <w:link w:val="Footer"/>
    <w:uiPriority w:val="99"/>
    <w:rsid w:val="000057F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194188">
      <w:bodyDiv w:val="1"/>
      <w:marLeft w:val="0"/>
      <w:marRight w:val="0"/>
      <w:marTop w:val="0"/>
      <w:marBottom w:val="0"/>
      <w:divBdr>
        <w:top w:val="none" w:sz="0" w:space="0" w:color="auto"/>
        <w:left w:val="none" w:sz="0" w:space="0" w:color="auto"/>
        <w:bottom w:val="none" w:sz="0" w:space="0" w:color="auto"/>
        <w:right w:val="none" w:sz="0" w:space="0" w:color="auto"/>
      </w:divBdr>
    </w:div>
    <w:div w:id="474686314">
      <w:bodyDiv w:val="1"/>
      <w:marLeft w:val="0"/>
      <w:marRight w:val="0"/>
      <w:marTop w:val="0"/>
      <w:marBottom w:val="0"/>
      <w:divBdr>
        <w:top w:val="none" w:sz="0" w:space="0" w:color="auto"/>
        <w:left w:val="none" w:sz="0" w:space="0" w:color="auto"/>
        <w:bottom w:val="none" w:sz="0" w:space="0" w:color="auto"/>
        <w:right w:val="none" w:sz="0" w:space="0" w:color="auto"/>
      </w:divBdr>
    </w:div>
    <w:div w:id="1873958808">
      <w:bodyDiv w:val="1"/>
      <w:marLeft w:val="0"/>
      <w:marRight w:val="0"/>
      <w:marTop w:val="0"/>
      <w:marBottom w:val="0"/>
      <w:divBdr>
        <w:top w:val="none" w:sz="0" w:space="0" w:color="auto"/>
        <w:left w:val="none" w:sz="0" w:space="0" w:color="auto"/>
        <w:bottom w:val="none" w:sz="0" w:space="0" w:color="auto"/>
        <w:right w:val="none" w:sz="0" w:space="0" w:color="auto"/>
      </w:divBdr>
    </w:div>
    <w:div w:id="210037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tle2.ed.gov/Title2STRC/ChooseState.aspx?Type=Map&amp;Year=201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highered.colorado.gov/Academics/TeacherEd/Educato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Macgillivray, Ian</dc:creator>
  <cp:lastModifiedBy>Macgillivray, Ian</cp:lastModifiedBy>
  <cp:revision>5</cp:revision>
  <dcterms:created xsi:type="dcterms:W3CDTF">2012-07-20T17:19:00Z</dcterms:created>
  <dcterms:modified xsi:type="dcterms:W3CDTF">2012-07-31T20:15:00Z</dcterms:modified>
</cp:coreProperties>
</file>