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3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270"/>
        <w:gridCol w:w="647"/>
        <w:gridCol w:w="8233"/>
      </w:tblGrid>
      <w:tr w:rsidR="0030696D" w:rsidRPr="0030696D" w:rsidTr="003069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696D" w:rsidRPr="0030696D" w:rsidRDefault="0030696D" w:rsidP="0030696D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696D" w:rsidRPr="0030696D" w:rsidRDefault="0030696D" w:rsidP="0030696D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696D" w:rsidRPr="006E11E4" w:rsidRDefault="0030696D" w:rsidP="0030696D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bookmarkStart w:id="0" w:name="GEDScore"/>
            <w:bookmarkEnd w:id="0"/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GED Score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0402E" w:rsidRPr="006E11E4" w:rsidRDefault="0030696D" w:rsidP="0070402E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 w:rsidRPr="006E11E4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Definition: </w:t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Score achieved on the Tests of General Educational Development. </w:t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Pr="006E11E4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Codes/Notes: </w:t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The GED examination is a test of equivalency for the high school diploma. It is used as a measurement for students who do not have a high school diploma but have taken the GED. It is evaluated against the GED standards described in the DHE Admission Standards Policy. </w:t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="0070402E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Between 2002 and 2017 b</w:t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ecause the score from the 2002 version is three digits</w:t>
            </w:r>
            <w:r w:rsidR="0070402E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 an</w:t>
            </w:r>
            <w:r w:rsidR="00F17CC0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d SURDS GED score data type was</w:t>
            </w:r>
            <w:r w:rsidR="0070402E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 two digits</w:t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, convert that score to two digits for SURDS reporting by dividing it by 10. If necessary, round to the nearest integer, rounding .5 up. </w:t>
            </w:r>
          </w:p>
          <w:p w:rsidR="0070402E" w:rsidRPr="006E11E4" w:rsidRDefault="0070402E" w:rsidP="0070402E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</w:p>
          <w:p w:rsidR="0030696D" w:rsidRPr="006E11E4" w:rsidRDefault="0070402E" w:rsidP="006E11E4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Beginning 2017, SURDS GED Score data type was updated to three digits. </w:t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="0030696D" w:rsidRPr="006E11E4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Missing Value: </w:t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Blank, if unknown or unavailable. </w:t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="0030696D" w:rsidRPr="006E11E4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Edit Specs: </w:t>
            </w:r>
            <w:r w:rsidR="0030696D" w:rsidRPr="006E11E4">
              <w:rPr>
                <w:rFonts w:ascii="Trebuchet MS" w:eastAsia="Times New Roman" w:hAnsi="Trebuchet MS" w:cs="Times New Roman"/>
                <w:strike/>
                <w:color w:val="222222"/>
                <w:sz w:val="20"/>
                <w:szCs w:val="20"/>
              </w:rPr>
              <w:t>Error if not blank and value &lt; 20 or &gt; 80;</w:t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 Year of High School Graduation must be blank if score reported in GED field. Error if not in admitted status </w:t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; Error if GED Score is blank and GED Score Flag is not blank;  Error is GED Score Flag =1 and value &lt;20 or &gt;80, GED Score Flag = </w:t>
            </w:r>
            <w:r w:rsid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2</w:t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 and value &lt;2</w:t>
            </w:r>
            <w:r w:rsid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00 or &gt;800 or GED Score Flag = 3</w:t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 and value &lt;100 or &gt;200</w:t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="0030696D" w:rsidRPr="006E11E4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Format: </w:t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Numeric, </w:t>
            </w:r>
            <w:r w:rsidR="0030696D" w:rsidRPr="006E11E4">
              <w:rPr>
                <w:rFonts w:ascii="Trebuchet MS" w:eastAsia="Times New Roman" w:hAnsi="Trebuchet MS" w:cs="Times New Roman"/>
                <w:strike/>
                <w:color w:val="222222"/>
                <w:sz w:val="20"/>
                <w:szCs w:val="20"/>
              </w:rPr>
              <w:t>2</w:t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 3 place integer </w:t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="0030696D" w:rsidRPr="006E11E4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Updates: </w:t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Added error listing for age range, June 1996; added provisions for 2002 test, July 2002.; </w:t>
            </w:r>
            <w:r w:rsidR="00E021F1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C</w:t>
            </w:r>
            <w:r w:rsidR="0030696D"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hanged the format to 3 place integer Sep. 2017</w:t>
            </w:r>
            <w:r w:rsid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; C</w:t>
            </w:r>
            <w:r w:rsidRP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hanged the valid score range Sep. 2017</w:t>
            </w:r>
          </w:p>
        </w:tc>
      </w:tr>
    </w:tbl>
    <w:p w:rsidR="00CE71A9" w:rsidRDefault="00C41A33"/>
    <w:tbl>
      <w:tblPr>
        <w:tblW w:w="5000" w:type="pct"/>
        <w:tblCellMar>
          <w:left w:w="3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375"/>
        <w:gridCol w:w="879"/>
        <w:gridCol w:w="7896"/>
      </w:tblGrid>
      <w:tr w:rsidR="00D50D0C" w:rsidRPr="0030696D" w:rsidTr="0040795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696D" w:rsidRPr="0030696D" w:rsidRDefault="0030696D" w:rsidP="0040795A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696D" w:rsidRPr="0030696D" w:rsidRDefault="0030696D" w:rsidP="0040795A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50D0C" w:rsidRPr="00C41A33" w:rsidRDefault="0030696D" w:rsidP="0040795A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bookmarkStart w:id="1" w:name="_GoBack"/>
            <w:bookmarkEnd w:id="1"/>
            <w:r w:rsidRPr="00C41A3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GED </w:t>
            </w:r>
          </w:p>
          <w:p w:rsidR="0030696D" w:rsidRPr="0030696D" w:rsidRDefault="0030696D" w:rsidP="0040795A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 w:rsidRPr="00C41A33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Score Flag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50D0C" w:rsidRDefault="0030696D" w:rsidP="00D50D0C">
            <w:pPr>
              <w:spacing w:after="0" w:line="315" w:lineRule="atLeast"/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</w:pPr>
            <w:r w:rsidRPr="0030696D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Definition: </w:t>
            </w: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Source of the reported </w:t>
            </w:r>
            <w:r w:rsidR="00F17CC0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GED </w:t>
            </w:r>
            <w:r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score</w:t>
            </w:r>
            <w:r w:rsidR="00F17CC0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s</w:t>
            </w: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Pr="0030696D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Codes/Notes: </w:t>
            </w:r>
          </w:p>
          <w:p w:rsidR="00D50D0C" w:rsidRPr="006E11E4" w:rsidRDefault="00D50D0C" w:rsidP="006E11E4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1988 GED Version</w:t>
            </w:r>
            <w:r w:rsid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 xml:space="preserve"> or </w:t>
            </w:r>
            <w:r w:rsidR="006E11E4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2002 GED Version convert to 2 digit (This is only valid for 2002-2017 SURDS)</w:t>
            </w:r>
          </w:p>
          <w:p w:rsidR="00D50D0C" w:rsidRPr="00D50D0C" w:rsidRDefault="00D50D0C" w:rsidP="00D50D0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2002 GED Version</w:t>
            </w:r>
          </w:p>
          <w:p w:rsidR="00D50D0C" w:rsidRPr="00D50D0C" w:rsidRDefault="00D50D0C" w:rsidP="00D50D0C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2014 GED Version</w:t>
            </w:r>
          </w:p>
          <w:p w:rsidR="00D50D0C" w:rsidRDefault="0030696D" w:rsidP="00D50D0C">
            <w:pPr>
              <w:spacing w:after="0" w:line="315" w:lineRule="atLeast"/>
              <w:rPr>
                <w:rFonts w:ascii="Trebuchet MS" w:hAnsi="Trebuchet MS"/>
                <w:color w:val="222222"/>
                <w:sz w:val="20"/>
                <w:szCs w:val="20"/>
              </w:rPr>
            </w:pP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Pr="0030696D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Missing Value: </w:t>
            </w:r>
            <w:r w:rsidR="00D50D0C">
              <w:rPr>
                <w:rFonts w:ascii="Trebuchet MS" w:hAnsi="Trebuchet MS"/>
                <w:color w:val="222222"/>
                <w:sz w:val="20"/>
                <w:szCs w:val="20"/>
              </w:rPr>
              <w:t>Blank, if no GED score reported</w:t>
            </w: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Pr="0030696D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Edit Specs: </w:t>
            </w:r>
            <w:r w:rsidR="006E11E4">
              <w:rPr>
                <w:rFonts w:ascii="Trebuchet MS" w:hAnsi="Trebuchet MS"/>
                <w:color w:val="222222"/>
                <w:sz w:val="20"/>
                <w:szCs w:val="20"/>
              </w:rPr>
              <w:t>Error if value is &lt; 1 or &gt; 3</w:t>
            </w:r>
            <w:r w:rsidR="00F17CC0">
              <w:rPr>
                <w:rFonts w:ascii="Trebuchet MS" w:hAnsi="Trebuchet MS"/>
                <w:color w:val="222222"/>
                <w:sz w:val="20"/>
                <w:szCs w:val="20"/>
              </w:rPr>
              <w:t xml:space="preserve">. Error if blank and </w:t>
            </w:r>
            <w:r w:rsidR="00D50D0C">
              <w:rPr>
                <w:rFonts w:ascii="Trebuchet MS" w:hAnsi="Trebuchet MS"/>
                <w:color w:val="222222"/>
                <w:sz w:val="20"/>
                <w:szCs w:val="20"/>
              </w:rPr>
              <w:t>GED Score</w:t>
            </w:r>
            <w:r w:rsidR="00F17CC0">
              <w:rPr>
                <w:rFonts w:ascii="Trebuchet MS" w:hAnsi="Trebuchet MS"/>
                <w:color w:val="222222"/>
                <w:sz w:val="20"/>
                <w:szCs w:val="20"/>
              </w:rPr>
              <w:t xml:space="preserve"> not blank</w:t>
            </w:r>
            <w:r w:rsidR="00D50D0C">
              <w:rPr>
                <w:rFonts w:ascii="Trebuchet MS" w:hAnsi="Trebuchet MS"/>
                <w:color w:val="222222"/>
                <w:sz w:val="20"/>
                <w:szCs w:val="20"/>
              </w:rPr>
              <w:t>.</w:t>
            </w:r>
            <w:r w:rsidR="00F17CC0">
              <w:rPr>
                <w:rFonts w:ascii="Trebuchet MS" w:hAnsi="Trebuchet MS"/>
                <w:color w:val="222222"/>
                <w:sz w:val="20"/>
                <w:szCs w:val="20"/>
              </w:rPr>
              <w:t xml:space="preserve"> Error if not in admitted status</w:t>
            </w: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lastRenderedPageBreak/>
              <w:br/>
            </w:r>
            <w:r w:rsidRPr="0030696D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Format: </w:t>
            </w:r>
            <w:r w:rsidR="00D50D0C">
              <w:rPr>
                <w:rFonts w:ascii="Trebuchet MS" w:hAnsi="Trebuchet MS"/>
                <w:color w:val="222222"/>
                <w:sz w:val="20"/>
                <w:szCs w:val="20"/>
              </w:rPr>
              <w:t>Numeric, 1 place integer</w:t>
            </w:r>
          </w:p>
          <w:p w:rsidR="0030696D" w:rsidRPr="0030696D" w:rsidRDefault="0030696D" w:rsidP="00D50D0C">
            <w:pPr>
              <w:spacing w:after="0" w:line="315" w:lineRule="atLeast"/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</w:pPr>
            <w:r w:rsidRPr="0030696D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br/>
            </w:r>
            <w:r w:rsidRPr="0030696D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Updates: </w:t>
            </w:r>
            <w:r w:rsidR="00D50D0C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D50D0C" w:rsidRPr="00D50D0C">
              <w:rPr>
                <w:rFonts w:ascii="Trebuchet MS" w:eastAsia="Times New Roman" w:hAnsi="Trebuchet MS" w:cs="Times New Roman"/>
                <w:bCs/>
                <w:color w:val="222222"/>
                <w:sz w:val="20"/>
                <w:szCs w:val="20"/>
              </w:rPr>
              <w:t>Added</w:t>
            </w:r>
            <w:r w:rsidR="00D50D0C">
              <w:rPr>
                <w:rFonts w:ascii="Trebuchet MS" w:eastAsia="Times New Roman" w:hAnsi="Trebuchet MS" w:cs="Times New Roman"/>
                <w:b/>
                <w:bCs/>
                <w:color w:val="222222"/>
                <w:sz w:val="20"/>
                <w:szCs w:val="20"/>
              </w:rPr>
              <w:t xml:space="preserve"> </w:t>
            </w:r>
            <w:r w:rsidR="00D50D0C">
              <w:rPr>
                <w:rFonts w:ascii="Trebuchet MS" w:eastAsia="Times New Roman" w:hAnsi="Trebuchet MS" w:cs="Times New Roman"/>
                <w:color w:val="222222"/>
                <w:sz w:val="20"/>
                <w:szCs w:val="20"/>
              </w:rPr>
              <w:t>Sep. 2017</w:t>
            </w:r>
          </w:p>
        </w:tc>
      </w:tr>
    </w:tbl>
    <w:p w:rsidR="0030696D" w:rsidRDefault="0030696D"/>
    <w:p w:rsidR="0030696D" w:rsidRDefault="0030696D"/>
    <w:sectPr w:rsidR="00306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F2B25"/>
    <w:multiLevelType w:val="multilevel"/>
    <w:tmpl w:val="D040B0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57AE5"/>
    <w:multiLevelType w:val="hybridMultilevel"/>
    <w:tmpl w:val="71B0D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6D"/>
    <w:rsid w:val="0030696D"/>
    <w:rsid w:val="006E11E4"/>
    <w:rsid w:val="0070402E"/>
    <w:rsid w:val="00796C51"/>
    <w:rsid w:val="00867FCB"/>
    <w:rsid w:val="00C41A33"/>
    <w:rsid w:val="00D50D0C"/>
    <w:rsid w:val="00E021F1"/>
    <w:rsid w:val="00F17CC0"/>
    <w:rsid w:val="00FB330B"/>
    <w:rsid w:val="00FD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66729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Yang, Maggie</dc:creator>
  <cp:lastModifiedBy>Yang, Maggie</cp:lastModifiedBy>
  <cp:revision>3</cp:revision>
  <dcterms:created xsi:type="dcterms:W3CDTF">2017-09-01T19:16:00Z</dcterms:created>
  <dcterms:modified xsi:type="dcterms:W3CDTF">2017-09-06T21:59:00Z</dcterms:modified>
</cp:coreProperties>
</file>