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EA86" w14:textId="77777777" w:rsidR="00CF0443" w:rsidRDefault="00CF0443" w:rsidP="00CF0443">
      <w:pPr>
        <w:jc w:val="right"/>
        <w:rPr>
          <w:rFonts w:ascii="Century Gothic" w:hAnsi="Century Gothic"/>
        </w:rPr>
      </w:pPr>
    </w:p>
    <w:p w14:paraId="08323424" w14:textId="6EE7F932" w:rsidR="008B092E" w:rsidRDefault="007A6AAA" w:rsidP="00CF0443">
      <w:pPr>
        <w:jc w:val="right"/>
        <w:rPr>
          <w:rFonts w:ascii="Century Gothic" w:hAnsi="Century Gothic"/>
        </w:rPr>
      </w:pPr>
      <w:r>
        <w:rPr>
          <w:rFonts w:ascii="Century Gothic" w:hAnsi="Century Gothic"/>
        </w:rPr>
        <w:t>CORE</w:t>
      </w:r>
      <w:r w:rsidR="008B092E" w:rsidRPr="008B092E">
        <w:rPr>
          <w:rFonts w:ascii="Century Gothic" w:hAnsi="Century Gothic"/>
        </w:rPr>
        <w:t xml:space="preserve"> Initiative text from HOUSE BILL 21-1330</w:t>
      </w:r>
    </w:p>
    <w:p w14:paraId="23F71874" w14:textId="77777777" w:rsidR="00CF0443" w:rsidRPr="008B092E" w:rsidRDefault="00CF0443" w:rsidP="000C7F5B">
      <w:pPr>
        <w:rPr>
          <w:rFonts w:ascii="Century Gothic" w:hAnsi="Century Gothic"/>
        </w:rPr>
      </w:pPr>
    </w:p>
    <w:p w14:paraId="28400FA5" w14:textId="1D00FB7A" w:rsidR="009930B0" w:rsidRDefault="009930B0" w:rsidP="009930B0">
      <w:pPr>
        <w:ind w:firstLine="720"/>
        <w:rPr>
          <w:rFonts w:ascii="Times New Roman" w:hAnsi="Times New Roman" w:cs="Times New Roman"/>
        </w:rPr>
      </w:pPr>
      <w:r w:rsidRPr="00752C7F">
        <w:rPr>
          <w:rFonts w:ascii="Times New Roman" w:hAnsi="Times New Roman" w:cs="Times New Roman"/>
          <w:b/>
          <w:bCs/>
        </w:rPr>
        <w:t>SECTION 6.</w:t>
      </w:r>
      <w:r w:rsidRPr="00752C7F">
        <w:rPr>
          <w:rFonts w:ascii="Times New Roman" w:hAnsi="Times New Roman" w:cs="Times New Roman"/>
        </w:rPr>
        <w:t xml:space="preserve"> In Colorado Revised Statutes, </w:t>
      </w:r>
      <w:r w:rsidRPr="00752C7F">
        <w:rPr>
          <w:rFonts w:ascii="Times New Roman" w:hAnsi="Times New Roman" w:cs="Times New Roman"/>
          <w:b/>
          <w:bCs/>
        </w:rPr>
        <w:t>add</w:t>
      </w:r>
      <w:r w:rsidRPr="00752C7F">
        <w:rPr>
          <w:rFonts w:ascii="Times New Roman" w:hAnsi="Times New Roman" w:cs="Times New Roman"/>
        </w:rPr>
        <w:t xml:space="preserve"> 23-1-131.5 as follows: </w:t>
      </w:r>
    </w:p>
    <w:p w14:paraId="49BC3523" w14:textId="77777777" w:rsidR="000C7F5B" w:rsidRPr="009930B0" w:rsidRDefault="000C7F5B" w:rsidP="009930B0">
      <w:pPr>
        <w:ind w:firstLine="720"/>
        <w:rPr>
          <w:rFonts w:ascii="Times New Roman" w:hAnsi="Times New Roman" w:cs="Times New Roman"/>
        </w:rPr>
      </w:pPr>
    </w:p>
    <w:tbl>
      <w:tblPr>
        <w:tblStyle w:val="TableGrid"/>
        <w:tblW w:w="0" w:type="auto"/>
        <w:tblLayout w:type="fixed"/>
        <w:tblCellMar>
          <w:left w:w="14" w:type="dxa"/>
          <w:right w:w="14" w:type="dxa"/>
        </w:tblCellMar>
        <w:tblLook w:val="04A0" w:firstRow="1" w:lastRow="0" w:firstColumn="1" w:lastColumn="0" w:noHBand="0" w:noVBand="1"/>
      </w:tblPr>
      <w:tblGrid>
        <w:gridCol w:w="7740"/>
        <w:gridCol w:w="360"/>
        <w:gridCol w:w="1260"/>
      </w:tblGrid>
      <w:tr w:rsidR="00E63A2B" w14:paraId="05D8D49D" w14:textId="77777777" w:rsidTr="000C7F5B">
        <w:trPr>
          <w:cantSplit/>
          <w:trHeight w:val="1134"/>
        </w:trPr>
        <w:tc>
          <w:tcPr>
            <w:tcW w:w="7740" w:type="dxa"/>
            <w:tcBorders>
              <w:top w:val="nil"/>
              <w:left w:val="nil"/>
              <w:bottom w:val="nil"/>
              <w:right w:val="nil"/>
            </w:tcBorders>
          </w:tcPr>
          <w:p w14:paraId="77D15703" w14:textId="77777777" w:rsidR="00175A70" w:rsidRDefault="009930B0" w:rsidP="000C7F5B">
            <w:pPr>
              <w:ind w:right="165" w:firstLine="720"/>
              <w:rPr>
                <w:rFonts w:cstheme="minorHAnsi"/>
                <w:b/>
                <w:bCs/>
                <w:sz w:val="24"/>
                <w:szCs w:val="24"/>
              </w:rPr>
            </w:pPr>
            <w:r w:rsidRPr="006B6CDA">
              <w:rPr>
                <w:rFonts w:cstheme="minorHAnsi"/>
                <w:b/>
                <w:bCs/>
                <w:sz w:val="24"/>
                <w:szCs w:val="24"/>
              </w:rPr>
              <w:t xml:space="preserve">23-1-131.5. </w:t>
            </w:r>
            <w:r w:rsidR="007A6AAA" w:rsidRPr="006B6CDA">
              <w:rPr>
                <w:rFonts w:cstheme="minorHAnsi"/>
                <w:b/>
                <w:bCs/>
                <w:sz w:val="24"/>
                <w:szCs w:val="24"/>
              </w:rPr>
              <w:t>Commission</w:t>
            </w:r>
            <w:r w:rsidRPr="006B6CDA">
              <w:rPr>
                <w:rFonts w:cstheme="minorHAnsi"/>
                <w:b/>
                <w:bCs/>
                <w:sz w:val="24"/>
                <w:szCs w:val="24"/>
              </w:rPr>
              <w:t xml:space="preserve"> directive - Colorado </w:t>
            </w:r>
            <w:r w:rsidR="000A74B8">
              <w:rPr>
                <w:rFonts w:cstheme="minorHAnsi"/>
                <w:b/>
                <w:bCs/>
                <w:sz w:val="24"/>
                <w:szCs w:val="24"/>
              </w:rPr>
              <w:t>R</w:t>
            </w:r>
            <w:r w:rsidRPr="006B6CDA">
              <w:rPr>
                <w:rFonts w:cstheme="minorHAnsi"/>
                <w:b/>
                <w:bCs/>
                <w:sz w:val="24"/>
                <w:szCs w:val="24"/>
              </w:rPr>
              <w:t>e-</w:t>
            </w:r>
            <w:r w:rsidR="000A74B8">
              <w:rPr>
                <w:rFonts w:cstheme="minorHAnsi"/>
                <w:b/>
                <w:bCs/>
                <w:sz w:val="24"/>
                <w:szCs w:val="24"/>
              </w:rPr>
              <w:t>E</w:t>
            </w:r>
            <w:r w:rsidRPr="006B6CDA">
              <w:rPr>
                <w:rFonts w:cstheme="minorHAnsi"/>
                <w:b/>
                <w:bCs/>
                <w:sz w:val="24"/>
                <w:szCs w:val="24"/>
              </w:rPr>
              <w:t>ngaged (</w:t>
            </w:r>
            <w:r w:rsidR="007A6AAA" w:rsidRPr="006B6CDA">
              <w:rPr>
                <w:rFonts w:cstheme="minorHAnsi"/>
                <w:b/>
                <w:bCs/>
                <w:sz w:val="24"/>
                <w:szCs w:val="24"/>
              </w:rPr>
              <w:t>CORE</w:t>
            </w:r>
            <w:r w:rsidRPr="006B6CDA">
              <w:rPr>
                <w:rFonts w:cstheme="minorHAnsi"/>
                <w:b/>
                <w:bCs/>
                <w:sz w:val="24"/>
                <w:szCs w:val="24"/>
              </w:rPr>
              <w:t xml:space="preserve">) initiative - four-year institutions - associate degrees - report - definitions. </w:t>
            </w:r>
          </w:p>
          <w:p w14:paraId="68284613" w14:textId="35041290" w:rsidR="009930B0" w:rsidRPr="006B6CDA" w:rsidRDefault="009930B0" w:rsidP="000C7F5B">
            <w:pPr>
              <w:ind w:right="165" w:firstLine="720"/>
              <w:rPr>
                <w:rFonts w:cstheme="minorHAnsi"/>
                <w:sz w:val="24"/>
                <w:szCs w:val="24"/>
              </w:rPr>
            </w:pPr>
            <w:r w:rsidRPr="006B6CDA">
              <w:rPr>
                <w:rFonts w:cstheme="minorHAnsi"/>
                <w:sz w:val="24"/>
                <w:szCs w:val="24"/>
              </w:rPr>
              <w:t xml:space="preserve">(1) </w:t>
            </w:r>
            <w:r w:rsidR="009F65BC" w:rsidRPr="006B6CDA">
              <w:rPr>
                <w:rFonts w:cstheme="minorHAnsi"/>
                <w:sz w:val="24"/>
                <w:szCs w:val="24"/>
              </w:rPr>
              <w:t xml:space="preserve">as used in this section, unless the context otherwise requires: </w:t>
            </w:r>
          </w:p>
          <w:p w14:paraId="6C153053" w14:textId="0DE5EF8B" w:rsidR="009930B0" w:rsidRPr="006B6CDA" w:rsidRDefault="009F65BC" w:rsidP="000C7F5B">
            <w:pPr>
              <w:ind w:right="165" w:firstLine="720"/>
              <w:rPr>
                <w:rFonts w:cstheme="minorHAnsi"/>
                <w:sz w:val="24"/>
                <w:szCs w:val="24"/>
              </w:rPr>
            </w:pPr>
            <w:r w:rsidRPr="006B6CDA">
              <w:rPr>
                <w:rFonts w:cstheme="minorHAnsi"/>
                <w:sz w:val="24"/>
                <w:szCs w:val="24"/>
              </w:rPr>
              <w:t>(a) "</w:t>
            </w:r>
            <w:r w:rsidR="007A6AAA" w:rsidRPr="006B6CDA">
              <w:rPr>
                <w:rFonts w:cstheme="minorHAnsi"/>
                <w:sz w:val="24"/>
                <w:szCs w:val="24"/>
              </w:rPr>
              <w:t>C</w:t>
            </w:r>
            <w:r w:rsidRPr="006B6CDA">
              <w:rPr>
                <w:rFonts w:cstheme="minorHAnsi"/>
                <w:sz w:val="24"/>
                <w:szCs w:val="24"/>
              </w:rPr>
              <w:t>olorado re-engaged initiative" or "</w:t>
            </w:r>
            <w:r w:rsidR="007A6AAA" w:rsidRPr="006B6CDA">
              <w:rPr>
                <w:rFonts w:cstheme="minorHAnsi"/>
                <w:sz w:val="24"/>
                <w:szCs w:val="24"/>
              </w:rPr>
              <w:t>CORE</w:t>
            </w:r>
            <w:r w:rsidRPr="006B6CDA">
              <w:rPr>
                <w:rFonts w:cstheme="minorHAnsi"/>
                <w:sz w:val="24"/>
                <w:szCs w:val="24"/>
              </w:rPr>
              <w:t xml:space="preserve"> initiative" means the initiative created in this section to authorize institutions to award associate degrees to eligible students. </w:t>
            </w:r>
          </w:p>
          <w:p w14:paraId="03EBCFCD" w14:textId="4F395998" w:rsidR="009930B0" w:rsidRPr="006B6CDA" w:rsidRDefault="009F65BC" w:rsidP="000C7F5B">
            <w:pPr>
              <w:ind w:right="165" w:firstLine="720"/>
              <w:rPr>
                <w:rFonts w:cstheme="minorHAnsi"/>
                <w:sz w:val="24"/>
                <w:szCs w:val="24"/>
              </w:rPr>
            </w:pPr>
            <w:r w:rsidRPr="006B6CDA">
              <w:rPr>
                <w:rFonts w:cstheme="minorHAnsi"/>
                <w:sz w:val="24"/>
                <w:szCs w:val="24"/>
              </w:rPr>
              <w:t xml:space="preserve">(b) "eligible student" means an undergraduate student who meets the criteria specified in subsection (5) of this section. </w:t>
            </w:r>
          </w:p>
          <w:p w14:paraId="088F9177" w14:textId="55A8F56D" w:rsidR="009930B0" w:rsidRPr="006B6CDA" w:rsidRDefault="009F65BC" w:rsidP="000C7F5B">
            <w:pPr>
              <w:ind w:right="165" w:firstLine="720"/>
              <w:rPr>
                <w:rFonts w:cstheme="minorHAnsi"/>
                <w:sz w:val="24"/>
                <w:szCs w:val="24"/>
              </w:rPr>
            </w:pPr>
            <w:r w:rsidRPr="006B6CDA">
              <w:rPr>
                <w:rFonts w:cstheme="minorHAnsi"/>
                <w:sz w:val="24"/>
                <w:szCs w:val="24"/>
              </w:rPr>
              <w:t xml:space="preserve">(c) "institution of higher education" or "institution" means a local district college operating pursuant to </w:t>
            </w:r>
            <w:r w:rsidR="007A6AAA" w:rsidRPr="006B6CDA">
              <w:rPr>
                <w:rFonts w:cstheme="minorHAnsi"/>
                <w:sz w:val="24"/>
                <w:szCs w:val="24"/>
              </w:rPr>
              <w:t>Article</w:t>
            </w:r>
            <w:r w:rsidRPr="006B6CDA">
              <w:rPr>
                <w:rFonts w:cstheme="minorHAnsi"/>
                <w:sz w:val="24"/>
                <w:szCs w:val="24"/>
              </w:rPr>
              <w:t xml:space="preserve"> 71 of this </w:t>
            </w:r>
            <w:r w:rsidR="006B6CDA" w:rsidRPr="006B6CDA">
              <w:rPr>
                <w:rFonts w:cstheme="minorHAnsi"/>
                <w:sz w:val="24"/>
                <w:szCs w:val="24"/>
              </w:rPr>
              <w:t>Title</w:t>
            </w:r>
            <w:r w:rsidRPr="006B6CDA">
              <w:rPr>
                <w:rFonts w:cstheme="minorHAnsi"/>
                <w:sz w:val="24"/>
                <w:szCs w:val="24"/>
              </w:rPr>
              <w:t xml:space="preserve"> 23 or a state institution of higher education as defined in section 23-18-102 (10)(a), but not including an institution governed by the </w:t>
            </w:r>
            <w:r w:rsidR="00CF0443">
              <w:rPr>
                <w:rFonts w:cstheme="minorHAnsi"/>
                <w:sz w:val="24"/>
                <w:szCs w:val="24"/>
              </w:rPr>
              <w:t>State Board for Community Colleges and Occupational Education</w:t>
            </w:r>
            <w:r w:rsidRPr="006B6CDA">
              <w:rPr>
                <w:rFonts w:cstheme="minorHAnsi"/>
                <w:sz w:val="24"/>
                <w:szCs w:val="24"/>
              </w:rPr>
              <w:t xml:space="preserve">. </w:t>
            </w:r>
          </w:p>
          <w:p w14:paraId="4BF228CF" w14:textId="77777777" w:rsidR="009930B0" w:rsidRPr="006B6CDA" w:rsidRDefault="009930B0" w:rsidP="000C7F5B">
            <w:pPr>
              <w:ind w:right="165"/>
              <w:rPr>
                <w:rFonts w:cstheme="minorHAnsi"/>
                <w:color w:val="282924"/>
                <w:sz w:val="24"/>
                <w:szCs w:val="24"/>
                <w:shd w:val="clear" w:color="auto" w:fill="FFFFFF"/>
              </w:rPr>
            </w:pPr>
          </w:p>
        </w:tc>
        <w:tc>
          <w:tcPr>
            <w:tcW w:w="360" w:type="dxa"/>
            <w:tcBorders>
              <w:top w:val="nil"/>
              <w:left w:val="nil"/>
              <w:bottom w:val="nil"/>
              <w:right w:val="nil"/>
            </w:tcBorders>
            <w:shd w:val="clear" w:color="auto" w:fill="D0CECE" w:themeFill="background2" w:themeFillShade="E6"/>
            <w:textDirection w:val="tbRl"/>
            <w:vAlign w:val="center"/>
          </w:tcPr>
          <w:p w14:paraId="241458BB" w14:textId="428C945C" w:rsidR="009930B0" w:rsidRPr="000C7F5B" w:rsidRDefault="000A74B8" w:rsidP="000C7F5B">
            <w:pPr>
              <w:ind w:left="113" w:right="113"/>
              <w:jc w:val="center"/>
              <w:rPr>
                <w:rFonts w:ascii="Century Gothic" w:hAnsi="Century Gothic"/>
                <w:b/>
                <w:bCs/>
                <w:color w:val="282924"/>
                <w:highlight w:val="lightGray"/>
                <w:shd w:val="clear" w:color="auto" w:fill="FFFFFF"/>
              </w:rPr>
            </w:pPr>
            <w:r w:rsidRPr="000C7F5B">
              <w:rPr>
                <w:rFonts w:ascii="Century Gothic" w:hAnsi="Century Gothic"/>
                <w:b/>
                <w:bCs/>
                <w:color w:val="282924"/>
                <w:highlight w:val="lightGray"/>
                <w:shd w:val="clear" w:color="auto" w:fill="FFFFFF"/>
              </w:rPr>
              <w:t>Definitions</w:t>
            </w:r>
          </w:p>
        </w:tc>
        <w:tc>
          <w:tcPr>
            <w:tcW w:w="1260" w:type="dxa"/>
            <w:tcBorders>
              <w:top w:val="nil"/>
              <w:left w:val="nil"/>
              <w:bottom w:val="nil"/>
              <w:right w:val="nil"/>
            </w:tcBorders>
          </w:tcPr>
          <w:p w14:paraId="3B9CB502" w14:textId="77777777" w:rsidR="009930B0" w:rsidRPr="00457E57" w:rsidRDefault="009930B0">
            <w:pPr>
              <w:rPr>
                <w:color w:val="282924"/>
                <w:sz w:val="20"/>
                <w:szCs w:val="20"/>
                <w:shd w:val="clear" w:color="auto" w:fill="FFFFFF"/>
              </w:rPr>
            </w:pPr>
          </w:p>
        </w:tc>
      </w:tr>
      <w:tr w:rsidR="00E63A2B" w14:paraId="713FDAB8" w14:textId="77777777" w:rsidTr="000C7F5B">
        <w:trPr>
          <w:cantSplit/>
          <w:trHeight w:val="1134"/>
        </w:trPr>
        <w:tc>
          <w:tcPr>
            <w:tcW w:w="7740" w:type="dxa"/>
            <w:tcBorders>
              <w:top w:val="nil"/>
              <w:left w:val="nil"/>
              <w:bottom w:val="nil"/>
              <w:right w:val="nil"/>
            </w:tcBorders>
          </w:tcPr>
          <w:p w14:paraId="648BE241" w14:textId="4CB01F9C" w:rsidR="009930B0" w:rsidRPr="006B6CDA" w:rsidRDefault="007A6AAA" w:rsidP="000C7F5B">
            <w:pPr>
              <w:ind w:right="165" w:firstLine="720"/>
              <w:rPr>
                <w:rFonts w:cstheme="minorHAnsi"/>
                <w:sz w:val="24"/>
                <w:szCs w:val="24"/>
              </w:rPr>
            </w:pPr>
            <w:r w:rsidRPr="006B6CDA">
              <w:rPr>
                <w:rFonts w:cstheme="minorHAnsi"/>
                <w:sz w:val="24"/>
                <w:szCs w:val="24"/>
              </w:rPr>
              <w:t xml:space="preserve">(2) there is created in the </w:t>
            </w:r>
            <w:r w:rsidR="000A74B8">
              <w:rPr>
                <w:rFonts w:cstheme="minorHAnsi"/>
                <w:sz w:val="24"/>
                <w:szCs w:val="24"/>
              </w:rPr>
              <w:t>D</w:t>
            </w:r>
            <w:r w:rsidRPr="006B6CDA">
              <w:rPr>
                <w:rFonts w:cstheme="minorHAnsi"/>
                <w:sz w:val="24"/>
                <w:szCs w:val="24"/>
              </w:rPr>
              <w:t xml:space="preserve">epartment the Colorado </w:t>
            </w:r>
            <w:r w:rsidR="000A74B8">
              <w:rPr>
                <w:rFonts w:cstheme="minorHAnsi"/>
                <w:sz w:val="24"/>
                <w:szCs w:val="24"/>
              </w:rPr>
              <w:t>R</w:t>
            </w:r>
            <w:r w:rsidRPr="006B6CDA">
              <w:rPr>
                <w:rFonts w:cstheme="minorHAnsi"/>
                <w:sz w:val="24"/>
                <w:szCs w:val="24"/>
              </w:rPr>
              <w:t>e-</w:t>
            </w:r>
            <w:r w:rsidR="000A74B8">
              <w:rPr>
                <w:rFonts w:cstheme="minorHAnsi"/>
                <w:sz w:val="24"/>
                <w:szCs w:val="24"/>
              </w:rPr>
              <w:t>E</w:t>
            </w:r>
            <w:r w:rsidRPr="006B6CDA">
              <w:rPr>
                <w:rFonts w:cstheme="minorHAnsi"/>
                <w:sz w:val="24"/>
                <w:szCs w:val="24"/>
              </w:rPr>
              <w:t>ngaged, or CORE, initiative to authorize institutions of higher education to award associate degrees, notwithstanding an institution's role and mission, to eligible students who enroll in baccalaureate degree programs and earn at least seventy credit hours in the programs,</w:t>
            </w:r>
            <w:r w:rsidR="00CF0443">
              <w:rPr>
                <w:rFonts w:cstheme="minorHAnsi"/>
                <w:sz w:val="24"/>
                <w:szCs w:val="24"/>
              </w:rPr>
              <w:t xml:space="preserve"> </w:t>
            </w:r>
            <w:r w:rsidRPr="006B6CDA">
              <w:rPr>
                <w:rFonts w:cstheme="minorHAnsi"/>
                <w:sz w:val="24"/>
                <w:szCs w:val="24"/>
              </w:rPr>
              <w:t xml:space="preserve">but withdraw from the institutions before attaining the baccalaureate degree. The goal of awarding an associate degree through the CORE initiative is to increase a student's earning potential by granting the student a degree, making it more likely the student will re-enroll and complete a baccalaureate degree or higher. </w:t>
            </w:r>
          </w:p>
          <w:p w14:paraId="6A613811" w14:textId="77777777" w:rsidR="009930B0" w:rsidRPr="006B6CDA" w:rsidRDefault="009930B0" w:rsidP="000C7F5B">
            <w:pPr>
              <w:ind w:right="165"/>
              <w:rPr>
                <w:rFonts w:cstheme="minorHAnsi"/>
                <w:color w:val="282924"/>
                <w:sz w:val="24"/>
                <w:szCs w:val="24"/>
                <w:shd w:val="clear" w:color="auto" w:fill="FFFFFF"/>
              </w:rPr>
            </w:pPr>
          </w:p>
        </w:tc>
        <w:tc>
          <w:tcPr>
            <w:tcW w:w="360" w:type="dxa"/>
            <w:tcBorders>
              <w:top w:val="nil"/>
              <w:left w:val="nil"/>
              <w:bottom w:val="nil"/>
              <w:right w:val="nil"/>
            </w:tcBorders>
            <w:shd w:val="clear" w:color="auto" w:fill="FFFF00"/>
            <w:textDirection w:val="tbRl"/>
            <w:vAlign w:val="center"/>
          </w:tcPr>
          <w:p w14:paraId="2EB0C463" w14:textId="089B6FAD" w:rsidR="009930B0" w:rsidRPr="000C7F5B" w:rsidRDefault="000A74B8" w:rsidP="000C7F5B">
            <w:pPr>
              <w:ind w:left="113" w:right="113"/>
              <w:jc w:val="center"/>
              <w:rPr>
                <w:rFonts w:ascii="Century Gothic" w:hAnsi="Century Gothic"/>
                <w:b/>
                <w:bCs/>
                <w:color w:val="282924"/>
                <w:shd w:val="clear" w:color="auto" w:fill="FFFFFF"/>
              </w:rPr>
            </w:pPr>
            <w:r w:rsidRPr="000C7F5B">
              <w:rPr>
                <w:rFonts w:ascii="Century Gothic" w:hAnsi="Century Gothic"/>
                <w:b/>
                <w:bCs/>
                <w:color w:val="282924"/>
                <w:highlight w:val="yellow"/>
                <w:shd w:val="clear" w:color="auto" w:fill="FFFFFF"/>
              </w:rPr>
              <w:t>Authorization &amp; Purpose</w:t>
            </w:r>
          </w:p>
        </w:tc>
        <w:tc>
          <w:tcPr>
            <w:tcW w:w="1260" w:type="dxa"/>
            <w:tcBorders>
              <w:top w:val="nil"/>
              <w:left w:val="nil"/>
              <w:bottom w:val="nil"/>
              <w:right w:val="nil"/>
            </w:tcBorders>
          </w:tcPr>
          <w:p w14:paraId="4E6AC622" w14:textId="77777777" w:rsidR="009930B0" w:rsidRPr="00457E57" w:rsidRDefault="009930B0">
            <w:pPr>
              <w:rPr>
                <w:color w:val="282924"/>
                <w:sz w:val="20"/>
                <w:szCs w:val="20"/>
                <w:shd w:val="clear" w:color="auto" w:fill="FFFFFF"/>
              </w:rPr>
            </w:pPr>
          </w:p>
        </w:tc>
      </w:tr>
      <w:tr w:rsidR="000A74B8" w14:paraId="09B70DA9" w14:textId="77777777" w:rsidTr="000C7F5B">
        <w:trPr>
          <w:cantSplit/>
          <w:trHeight w:val="1134"/>
        </w:trPr>
        <w:tc>
          <w:tcPr>
            <w:tcW w:w="7740" w:type="dxa"/>
            <w:tcBorders>
              <w:top w:val="nil"/>
              <w:left w:val="nil"/>
              <w:bottom w:val="nil"/>
              <w:right w:val="nil"/>
            </w:tcBorders>
          </w:tcPr>
          <w:p w14:paraId="465368BF" w14:textId="743EBF83" w:rsidR="009930B0" w:rsidRPr="006B6CDA" w:rsidRDefault="007A6AAA" w:rsidP="000C7F5B">
            <w:pPr>
              <w:ind w:right="165" w:firstLine="720"/>
              <w:rPr>
                <w:rFonts w:cstheme="minorHAnsi"/>
                <w:sz w:val="24"/>
                <w:szCs w:val="24"/>
              </w:rPr>
            </w:pPr>
            <w:r w:rsidRPr="006B6CDA">
              <w:rPr>
                <w:rFonts w:cstheme="minorHAnsi"/>
                <w:sz w:val="24"/>
                <w:szCs w:val="24"/>
              </w:rPr>
              <w:t xml:space="preserve">(3) the Commission shall collaborate with the institutions of higher education to develop and coordinate a process to identify eligible students and award associate degrees through the CORE initiative. To implement the CORE initiative, the role of the </w:t>
            </w:r>
            <w:r w:rsidR="0027004A">
              <w:rPr>
                <w:rFonts w:cstheme="minorHAnsi"/>
                <w:sz w:val="24"/>
                <w:szCs w:val="24"/>
              </w:rPr>
              <w:t>D</w:t>
            </w:r>
            <w:r w:rsidRPr="006B6CDA">
              <w:rPr>
                <w:rFonts w:cstheme="minorHAnsi"/>
                <w:sz w:val="24"/>
                <w:szCs w:val="24"/>
              </w:rPr>
              <w:t xml:space="preserve">epartment is to: </w:t>
            </w:r>
          </w:p>
          <w:p w14:paraId="08E6401B" w14:textId="10671364" w:rsidR="009930B0" w:rsidRPr="006B6CDA" w:rsidRDefault="007A6AAA" w:rsidP="000C7F5B">
            <w:pPr>
              <w:ind w:right="165" w:firstLine="720"/>
              <w:rPr>
                <w:rFonts w:cstheme="minorHAnsi"/>
                <w:sz w:val="24"/>
                <w:szCs w:val="24"/>
              </w:rPr>
            </w:pPr>
            <w:r w:rsidRPr="006B6CDA">
              <w:rPr>
                <w:rFonts w:cstheme="minorHAnsi"/>
                <w:sz w:val="24"/>
                <w:szCs w:val="24"/>
              </w:rPr>
              <w:t xml:space="preserve">(a) publicize the CORE initiative, including the eligibility requirements that a student must meet to obtain an associate degree through the CORE initiative as described in subsection (5) of this section; and </w:t>
            </w:r>
          </w:p>
          <w:p w14:paraId="043601B0" w14:textId="3A7088BF" w:rsidR="009930B0" w:rsidRPr="006B6CDA" w:rsidRDefault="007A6AAA" w:rsidP="000C7F5B">
            <w:pPr>
              <w:ind w:right="165" w:firstLine="720"/>
              <w:rPr>
                <w:rFonts w:cstheme="minorHAnsi"/>
                <w:sz w:val="24"/>
                <w:szCs w:val="24"/>
              </w:rPr>
            </w:pPr>
            <w:r w:rsidRPr="006B6CDA">
              <w:rPr>
                <w:rFonts w:cstheme="minorHAnsi"/>
                <w:sz w:val="24"/>
                <w:szCs w:val="24"/>
              </w:rPr>
              <w:t xml:space="preserve">(b) work with the institutions to identify eligible students and notify those eligible students of their eligibility to obtain an associate degree through the CORE initiative and the process for doing so. </w:t>
            </w:r>
          </w:p>
          <w:p w14:paraId="39B6B2EA" w14:textId="5ED44947" w:rsidR="006B4109" w:rsidRPr="006B6CDA" w:rsidRDefault="006B4109" w:rsidP="000C7F5B">
            <w:pPr>
              <w:ind w:right="165"/>
              <w:rPr>
                <w:rFonts w:cstheme="minorHAnsi"/>
                <w:color w:val="282924"/>
                <w:sz w:val="24"/>
                <w:szCs w:val="24"/>
                <w:shd w:val="clear" w:color="auto" w:fill="FFFFFF"/>
              </w:rPr>
            </w:pPr>
          </w:p>
        </w:tc>
        <w:tc>
          <w:tcPr>
            <w:tcW w:w="360" w:type="dxa"/>
            <w:tcBorders>
              <w:top w:val="nil"/>
              <w:left w:val="nil"/>
              <w:bottom w:val="nil"/>
              <w:right w:val="nil"/>
            </w:tcBorders>
            <w:shd w:val="clear" w:color="auto" w:fill="002060"/>
            <w:textDirection w:val="tbRl"/>
            <w:vAlign w:val="center"/>
          </w:tcPr>
          <w:p w14:paraId="30FA8E67" w14:textId="722161AC" w:rsidR="00BA1C1E" w:rsidRPr="000C7F5B" w:rsidRDefault="00E63A2B" w:rsidP="000C7F5B">
            <w:pPr>
              <w:ind w:left="113" w:right="113"/>
              <w:jc w:val="center"/>
              <w:rPr>
                <w:rFonts w:ascii="Century Gothic" w:hAnsi="Century Gothic"/>
                <w:b/>
                <w:bCs/>
                <w:highlight w:val="darkBlue"/>
              </w:rPr>
            </w:pPr>
            <w:r w:rsidRPr="000C7F5B">
              <w:rPr>
                <w:rFonts w:ascii="Century Gothic" w:hAnsi="Century Gothic"/>
                <w:b/>
                <w:bCs/>
                <w:color w:val="FFFFFF" w:themeColor="background1"/>
                <w:highlight w:val="darkBlue"/>
                <w:shd w:val="clear" w:color="auto" w:fill="002060"/>
              </w:rPr>
              <w:t>CDH</w:t>
            </w:r>
            <w:r w:rsidR="00E07713" w:rsidRPr="000C7F5B">
              <w:rPr>
                <w:rFonts w:ascii="Century Gothic" w:hAnsi="Century Gothic"/>
                <w:b/>
                <w:bCs/>
                <w:color w:val="FFFFFF" w:themeColor="background1"/>
                <w:highlight w:val="darkBlue"/>
                <w:shd w:val="clear" w:color="auto" w:fill="002060"/>
              </w:rPr>
              <w:t>E</w:t>
            </w:r>
            <w:r w:rsidR="00E07713" w:rsidRPr="000C7F5B">
              <w:rPr>
                <w:rFonts w:ascii="Century Gothic" w:hAnsi="Century Gothic"/>
                <w:b/>
                <w:bCs/>
                <w:color w:val="FFFFFF" w:themeColor="background1"/>
                <w:highlight w:val="darkBlue"/>
                <w:shd w:val="clear" w:color="auto" w:fill="FFFFFF"/>
              </w:rPr>
              <w:t xml:space="preserve"> Rol</w:t>
            </w:r>
            <w:r w:rsidR="00D54E4F" w:rsidRPr="000C7F5B">
              <w:rPr>
                <w:rFonts w:ascii="Century Gothic" w:hAnsi="Century Gothic"/>
                <w:b/>
                <w:bCs/>
                <w:color w:val="FFFFFF" w:themeColor="background1"/>
                <w:highlight w:val="darkBlue"/>
                <w:shd w:val="clear" w:color="auto" w:fill="FFFFFF"/>
              </w:rPr>
              <w:t>e</w:t>
            </w:r>
          </w:p>
        </w:tc>
        <w:tc>
          <w:tcPr>
            <w:tcW w:w="1260" w:type="dxa"/>
            <w:tcBorders>
              <w:top w:val="nil"/>
              <w:left w:val="nil"/>
              <w:bottom w:val="nil"/>
              <w:right w:val="nil"/>
            </w:tcBorders>
          </w:tcPr>
          <w:p w14:paraId="1735E5A1" w14:textId="77777777" w:rsidR="009930B0" w:rsidRPr="00457E57" w:rsidRDefault="009930B0">
            <w:pPr>
              <w:rPr>
                <w:color w:val="282924"/>
                <w:sz w:val="20"/>
                <w:szCs w:val="20"/>
                <w:shd w:val="clear" w:color="auto" w:fill="FFFFFF"/>
              </w:rPr>
            </w:pPr>
          </w:p>
        </w:tc>
      </w:tr>
      <w:tr w:rsidR="00E63A2B" w14:paraId="75005427" w14:textId="77777777" w:rsidTr="000C7F5B">
        <w:trPr>
          <w:cantSplit/>
          <w:trHeight w:val="1134"/>
        </w:trPr>
        <w:tc>
          <w:tcPr>
            <w:tcW w:w="7740" w:type="dxa"/>
            <w:tcBorders>
              <w:top w:val="nil"/>
              <w:left w:val="nil"/>
              <w:bottom w:val="nil"/>
              <w:right w:val="nil"/>
            </w:tcBorders>
          </w:tcPr>
          <w:p w14:paraId="4663A2DD" w14:textId="0DB198D6" w:rsidR="009930B0" w:rsidRPr="006B6CDA" w:rsidRDefault="007A6AAA" w:rsidP="000C7F5B">
            <w:pPr>
              <w:ind w:right="165" w:firstLine="720"/>
              <w:rPr>
                <w:rFonts w:cstheme="minorHAnsi"/>
                <w:sz w:val="24"/>
                <w:szCs w:val="24"/>
              </w:rPr>
            </w:pPr>
            <w:r w:rsidRPr="006B6CDA">
              <w:rPr>
                <w:rFonts w:cstheme="minorHAnsi"/>
                <w:sz w:val="24"/>
                <w:szCs w:val="24"/>
              </w:rPr>
              <w:lastRenderedPageBreak/>
              <w:t xml:space="preserve">(4) (a) the role of an institution that chooses to participate in the CORE initiative is limited to: </w:t>
            </w:r>
          </w:p>
          <w:p w14:paraId="776BE288" w14:textId="18F10AAE" w:rsidR="009930B0" w:rsidRPr="006B6CDA" w:rsidRDefault="007A6AAA" w:rsidP="000C7F5B">
            <w:pPr>
              <w:ind w:right="165" w:firstLine="720"/>
              <w:rPr>
                <w:rFonts w:cstheme="minorHAnsi"/>
                <w:sz w:val="24"/>
                <w:szCs w:val="24"/>
              </w:rPr>
            </w:pPr>
            <w:r w:rsidRPr="006B6CDA">
              <w:rPr>
                <w:rFonts w:cstheme="minorHAnsi"/>
                <w:sz w:val="24"/>
                <w:szCs w:val="24"/>
              </w:rPr>
              <w:t xml:space="preserve">(i) providing to the department contact information for eligible students, if available; </w:t>
            </w:r>
          </w:p>
          <w:p w14:paraId="00DE6AFB" w14:textId="4D0616EF" w:rsidR="009930B0" w:rsidRPr="006B6CDA" w:rsidRDefault="007A6AAA" w:rsidP="000C7F5B">
            <w:pPr>
              <w:ind w:right="165" w:firstLine="720"/>
              <w:rPr>
                <w:rFonts w:cstheme="minorHAnsi"/>
                <w:sz w:val="24"/>
                <w:szCs w:val="24"/>
              </w:rPr>
            </w:pPr>
            <w:r w:rsidRPr="006B6CDA">
              <w:rPr>
                <w:rFonts w:cstheme="minorHAnsi"/>
                <w:sz w:val="24"/>
                <w:szCs w:val="24"/>
              </w:rPr>
              <w:t>(ii) determining whether an eligible student qualifies for an associate degree based on earned credits and courses</w:t>
            </w:r>
            <w:r w:rsidR="009930B0" w:rsidRPr="006B6CDA">
              <w:rPr>
                <w:rFonts w:cstheme="minorHAnsi"/>
                <w:sz w:val="24"/>
                <w:szCs w:val="24"/>
              </w:rPr>
              <w:t xml:space="preserve"> </w:t>
            </w:r>
            <w:r w:rsidRPr="006B6CDA">
              <w:rPr>
                <w:rFonts w:cstheme="minorHAnsi"/>
                <w:sz w:val="24"/>
                <w:szCs w:val="24"/>
              </w:rPr>
              <w:t xml:space="preserve">taken; </w:t>
            </w:r>
          </w:p>
          <w:p w14:paraId="6FBABE20" w14:textId="13ABECEC" w:rsidR="009930B0" w:rsidRPr="006B6CDA" w:rsidRDefault="007A6AAA" w:rsidP="000C7F5B">
            <w:pPr>
              <w:ind w:right="165" w:firstLine="720"/>
              <w:rPr>
                <w:rFonts w:cstheme="minorHAnsi"/>
                <w:sz w:val="24"/>
                <w:szCs w:val="24"/>
              </w:rPr>
            </w:pPr>
            <w:r w:rsidRPr="006B6CDA">
              <w:rPr>
                <w:rFonts w:cstheme="minorHAnsi"/>
                <w:sz w:val="24"/>
                <w:szCs w:val="24"/>
              </w:rPr>
              <w:t>(</w:t>
            </w:r>
            <w:r w:rsidR="003A7B18">
              <w:rPr>
                <w:rFonts w:cstheme="minorHAnsi"/>
                <w:sz w:val="24"/>
                <w:szCs w:val="24"/>
              </w:rPr>
              <w:t>i</w:t>
            </w:r>
            <w:r w:rsidRPr="006B6CDA">
              <w:rPr>
                <w:rFonts w:cstheme="minorHAnsi"/>
                <w:sz w:val="24"/>
                <w:szCs w:val="24"/>
              </w:rPr>
              <w:t xml:space="preserve">ii) issuing an associate degree upon the request of an eligible student and advising the student of opportunities to re-enroll at the institution to complete the baccalaureate degree program; and </w:t>
            </w:r>
          </w:p>
          <w:p w14:paraId="6A1CD280" w14:textId="1466DFDE" w:rsidR="009930B0" w:rsidRPr="006B6CDA" w:rsidRDefault="007A6AAA" w:rsidP="000C7F5B">
            <w:pPr>
              <w:ind w:right="165" w:firstLine="720"/>
              <w:rPr>
                <w:rFonts w:cstheme="minorHAnsi"/>
                <w:sz w:val="24"/>
                <w:szCs w:val="24"/>
              </w:rPr>
            </w:pPr>
            <w:r w:rsidRPr="006B6CDA">
              <w:rPr>
                <w:rFonts w:cstheme="minorHAnsi"/>
                <w:sz w:val="24"/>
                <w:szCs w:val="24"/>
              </w:rPr>
              <w:t xml:space="preserve">(iv) submitting to the department the information described in subsection (6) of this section. </w:t>
            </w:r>
          </w:p>
          <w:p w14:paraId="6EC46E0F" w14:textId="67FD227C" w:rsidR="009930B0" w:rsidRPr="006B6CDA" w:rsidRDefault="007A6AAA" w:rsidP="000C7F5B">
            <w:pPr>
              <w:ind w:right="165" w:firstLine="720"/>
              <w:rPr>
                <w:rFonts w:cstheme="minorHAnsi"/>
                <w:sz w:val="24"/>
                <w:szCs w:val="24"/>
              </w:rPr>
            </w:pPr>
            <w:r w:rsidRPr="006B6CDA">
              <w:rPr>
                <w:rFonts w:cstheme="minorHAnsi"/>
                <w:sz w:val="24"/>
                <w:szCs w:val="24"/>
              </w:rPr>
              <w:t xml:space="preserve">(b) an institution that chooses to participate in the CORE initiative must obtain approval from the institution's accrediting agency to grant associate degrees through the CORE initiative. An institution may award an associate degree to an eligible student through the CORE initiative for up to ten academic years after the last semester in which the eligible student enrolled at the institution. </w:t>
            </w:r>
          </w:p>
          <w:p w14:paraId="00BF356E" w14:textId="334D8604" w:rsidR="009930B0" w:rsidRPr="006B6CDA" w:rsidRDefault="007A6AAA" w:rsidP="000C7F5B">
            <w:pPr>
              <w:ind w:right="165" w:firstLine="720"/>
              <w:rPr>
                <w:rFonts w:cstheme="minorHAnsi"/>
                <w:sz w:val="24"/>
                <w:szCs w:val="24"/>
              </w:rPr>
            </w:pPr>
            <w:r w:rsidRPr="006B6CDA">
              <w:rPr>
                <w:rFonts w:cstheme="minorHAnsi"/>
                <w:sz w:val="24"/>
                <w:szCs w:val="24"/>
              </w:rPr>
              <w:t xml:space="preserve">(c) an institution that chooses to participate in the CORE initiative shall not allow a student to enroll in the institution to obtain an associate degree and shall not offer programs that are designed to lead to associate degrees; except that this subsection (4)(c) does not apply to a local district college, </w:t>
            </w:r>
            <w:r w:rsidR="006B6CDA" w:rsidRPr="006B6CDA">
              <w:rPr>
                <w:rFonts w:cstheme="minorHAnsi"/>
                <w:sz w:val="24"/>
                <w:szCs w:val="24"/>
              </w:rPr>
              <w:t>A</w:t>
            </w:r>
            <w:r w:rsidRPr="006B6CDA">
              <w:rPr>
                <w:rFonts w:cstheme="minorHAnsi"/>
                <w:sz w:val="24"/>
                <w:szCs w:val="24"/>
              </w:rPr>
              <w:t xml:space="preserve">dams </w:t>
            </w:r>
            <w:r w:rsidR="006B6CDA" w:rsidRPr="006B6CDA">
              <w:rPr>
                <w:rFonts w:cstheme="minorHAnsi"/>
                <w:sz w:val="24"/>
                <w:szCs w:val="24"/>
              </w:rPr>
              <w:t>S</w:t>
            </w:r>
            <w:r w:rsidRPr="006B6CDA">
              <w:rPr>
                <w:rFonts w:cstheme="minorHAnsi"/>
                <w:sz w:val="24"/>
                <w:szCs w:val="24"/>
              </w:rPr>
              <w:t xml:space="preserve">tate </w:t>
            </w:r>
            <w:r w:rsidR="006B6CDA" w:rsidRPr="006B6CDA">
              <w:rPr>
                <w:rFonts w:cstheme="minorHAnsi"/>
                <w:sz w:val="24"/>
                <w:szCs w:val="24"/>
              </w:rPr>
              <w:t>U</w:t>
            </w:r>
            <w:r w:rsidRPr="006B6CDA">
              <w:rPr>
                <w:rFonts w:cstheme="minorHAnsi"/>
                <w:sz w:val="24"/>
                <w:szCs w:val="24"/>
              </w:rPr>
              <w:t xml:space="preserve">niversity, </w:t>
            </w:r>
            <w:r w:rsidR="006B6CDA" w:rsidRPr="006B6CDA">
              <w:rPr>
                <w:rFonts w:cstheme="minorHAnsi"/>
                <w:sz w:val="24"/>
                <w:szCs w:val="24"/>
              </w:rPr>
              <w:t>F</w:t>
            </w:r>
            <w:r w:rsidRPr="006B6CDA">
              <w:rPr>
                <w:rFonts w:cstheme="minorHAnsi"/>
                <w:sz w:val="24"/>
                <w:szCs w:val="24"/>
              </w:rPr>
              <w:t xml:space="preserve">ort </w:t>
            </w:r>
            <w:r w:rsidR="006B6CDA" w:rsidRPr="006B6CDA">
              <w:rPr>
                <w:rFonts w:cstheme="minorHAnsi"/>
                <w:sz w:val="24"/>
                <w:szCs w:val="24"/>
              </w:rPr>
              <w:t>L</w:t>
            </w:r>
            <w:r w:rsidRPr="006B6CDA">
              <w:rPr>
                <w:rFonts w:cstheme="minorHAnsi"/>
                <w:sz w:val="24"/>
                <w:szCs w:val="24"/>
              </w:rPr>
              <w:t xml:space="preserve">ewis </w:t>
            </w:r>
            <w:r w:rsidR="006B6CDA" w:rsidRPr="006B6CDA">
              <w:rPr>
                <w:rFonts w:cstheme="minorHAnsi"/>
                <w:sz w:val="24"/>
                <w:szCs w:val="24"/>
              </w:rPr>
              <w:t>C</w:t>
            </w:r>
            <w:r w:rsidRPr="006B6CDA">
              <w:rPr>
                <w:rFonts w:cstheme="minorHAnsi"/>
                <w:sz w:val="24"/>
                <w:szCs w:val="24"/>
              </w:rPr>
              <w:t xml:space="preserve">ollege with regard to the authority granted in section 23-52-101 (2)(a), and Colorado </w:t>
            </w:r>
            <w:r w:rsidR="006B6CDA" w:rsidRPr="006B6CDA">
              <w:rPr>
                <w:rFonts w:cstheme="minorHAnsi"/>
                <w:sz w:val="24"/>
                <w:szCs w:val="24"/>
              </w:rPr>
              <w:t>M</w:t>
            </w:r>
            <w:r w:rsidRPr="006B6CDA">
              <w:rPr>
                <w:rFonts w:cstheme="minorHAnsi"/>
                <w:sz w:val="24"/>
                <w:szCs w:val="24"/>
              </w:rPr>
              <w:t xml:space="preserve">esa </w:t>
            </w:r>
            <w:r w:rsidR="006B6CDA" w:rsidRPr="006B6CDA">
              <w:rPr>
                <w:rFonts w:cstheme="minorHAnsi"/>
                <w:sz w:val="24"/>
                <w:szCs w:val="24"/>
              </w:rPr>
              <w:t>U</w:t>
            </w:r>
            <w:r w:rsidRPr="006B6CDA">
              <w:rPr>
                <w:rFonts w:cstheme="minorHAnsi"/>
                <w:sz w:val="24"/>
                <w:szCs w:val="24"/>
              </w:rPr>
              <w:t xml:space="preserve">niversity. the associate degrees issued by institutions through the CORE initiative shall not be considered in determining an institution's funding pursuant to part 3 of Article 18 of this </w:t>
            </w:r>
            <w:r w:rsidR="006B6CDA" w:rsidRPr="006B6CDA">
              <w:rPr>
                <w:rFonts w:cstheme="minorHAnsi"/>
                <w:sz w:val="24"/>
                <w:szCs w:val="24"/>
              </w:rPr>
              <w:t>Title</w:t>
            </w:r>
            <w:r w:rsidRPr="006B6CDA">
              <w:rPr>
                <w:rFonts w:cstheme="minorHAnsi"/>
                <w:sz w:val="24"/>
                <w:szCs w:val="24"/>
              </w:rPr>
              <w:t xml:space="preserve"> 23. </w:t>
            </w:r>
          </w:p>
          <w:p w14:paraId="4E93BA66" w14:textId="77777777" w:rsidR="009930B0" w:rsidRPr="006B6CDA" w:rsidRDefault="009930B0" w:rsidP="000C7F5B">
            <w:pPr>
              <w:ind w:right="165"/>
              <w:rPr>
                <w:rFonts w:cstheme="minorHAnsi"/>
                <w:color w:val="282924"/>
                <w:sz w:val="24"/>
                <w:szCs w:val="24"/>
                <w:shd w:val="clear" w:color="auto" w:fill="FFFFFF"/>
              </w:rPr>
            </w:pPr>
          </w:p>
        </w:tc>
        <w:tc>
          <w:tcPr>
            <w:tcW w:w="360" w:type="dxa"/>
            <w:tcBorders>
              <w:top w:val="nil"/>
              <w:left w:val="nil"/>
              <w:bottom w:val="nil"/>
              <w:right w:val="nil"/>
            </w:tcBorders>
            <w:shd w:val="clear" w:color="auto" w:fill="00FFFF"/>
            <w:textDirection w:val="tbRl"/>
            <w:vAlign w:val="center"/>
          </w:tcPr>
          <w:p w14:paraId="1462C921" w14:textId="6D25ACD3" w:rsidR="009930B0" w:rsidRPr="000C7F5B" w:rsidRDefault="00AC11EC" w:rsidP="00E07713">
            <w:pPr>
              <w:ind w:left="113" w:right="113"/>
              <w:jc w:val="center"/>
              <w:rPr>
                <w:rFonts w:ascii="Century Gothic" w:hAnsi="Century Gothic"/>
                <w:b/>
                <w:bCs/>
                <w:color w:val="282924"/>
                <w:highlight w:val="cyan"/>
                <w:shd w:val="clear" w:color="auto" w:fill="FFFFFF"/>
              </w:rPr>
            </w:pPr>
            <w:r w:rsidRPr="000C7F5B">
              <w:rPr>
                <w:rFonts w:ascii="Century Gothic" w:hAnsi="Century Gothic"/>
                <w:b/>
                <w:bCs/>
                <w:color w:val="282924"/>
                <w:highlight w:val="cyan"/>
                <w:shd w:val="clear" w:color="auto" w:fill="FFFFFF"/>
              </w:rPr>
              <w:t xml:space="preserve">Participating </w:t>
            </w:r>
            <w:r w:rsidR="00E07713" w:rsidRPr="000C7F5B">
              <w:rPr>
                <w:rFonts w:ascii="Century Gothic" w:hAnsi="Century Gothic"/>
                <w:b/>
                <w:bCs/>
                <w:color w:val="282924"/>
                <w:highlight w:val="cyan"/>
                <w:shd w:val="clear" w:color="auto" w:fill="FFFFFF"/>
              </w:rPr>
              <w:t>IHE Role</w:t>
            </w:r>
          </w:p>
        </w:tc>
        <w:tc>
          <w:tcPr>
            <w:tcW w:w="1260" w:type="dxa"/>
            <w:tcBorders>
              <w:top w:val="nil"/>
              <w:left w:val="nil"/>
              <w:bottom w:val="nil"/>
              <w:right w:val="nil"/>
            </w:tcBorders>
          </w:tcPr>
          <w:p w14:paraId="2CCAA3F2" w14:textId="77777777" w:rsidR="009930B0" w:rsidRPr="00457E57" w:rsidRDefault="009930B0">
            <w:pPr>
              <w:rPr>
                <w:color w:val="282924"/>
                <w:sz w:val="20"/>
                <w:szCs w:val="20"/>
                <w:shd w:val="clear" w:color="auto" w:fill="FFFFFF"/>
              </w:rPr>
            </w:pPr>
          </w:p>
        </w:tc>
      </w:tr>
      <w:tr w:rsidR="00E63A2B" w14:paraId="7FD94017" w14:textId="77777777" w:rsidTr="000C7F5B">
        <w:trPr>
          <w:cantSplit/>
          <w:trHeight w:val="1134"/>
        </w:trPr>
        <w:tc>
          <w:tcPr>
            <w:tcW w:w="7740" w:type="dxa"/>
            <w:tcBorders>
              <w:top w:val="nil"/>
              <w:left w:val="nil"/>
              <w:bottom w:val="nil"/>
              <w:right w:val="nil"/>
            </w:tcBorders>
          </w:tcPr>
          <w:p w14:paraId="1537A41E" w14:textId="63ED59E1" w:rsidR="009930B0" w:rsidRPr="006B6CDA" w:rsidRDefault="007A6AAA" w:rsidP="000C7F5B">
            <w:pPr>
              <w:ind w:right="165" w:firstLine="720"/>
              <w:rPr>
                <w:rFonts w:cstheme="minorHAnsi"/>
                <w:sz w:val="24"/>
                <w:szCs w:val="24"/>
              </w:rPr>
            </w:pPr>
            <w:r w:rsidRPr="006B6CDA">
              <w:rPr>
                <w:rFonts w:cstheme="minorHAnsi"/>
                <w:sz w:val="24"/>
                <w:szCs w:val="24"/>
              </w:rPr>
              <w:t xml:space="preserve">(5) (a) to receive an associate degree through the CORE initiative, a student must: </w:t>
            </w:r>
          </w:p>
          <w:p w14:paraId="129FCDCC" w14:textId="6F6B8365" w:rsidR="009930B0" w:rsidRPr="006B6CDA" w:rsidRDefault="007A6AAA" w:rsidP="000C7F5B">
            <w:pPr>
              <w:ind w:right="165" w:firstLine="720"/>
              <w:rPr>
                <w:rFonts w:cstheme="minorHAnsi"/>
                <w:sz w:val="24"/>
                <w:szCs w:val="24"/>
              </w:rPr>
            </w:pPr>
            <w:r w:rsidRPr="006B6CDA">
              <w:rPr>
                <w:rFonts w:cstheme="minorHAnsi"/>
                <w:sz w:val="24"/>
                <w:szCs w:val="24"/>
              </w:rPr>
              <w:t xml:space="preserve">(i) not have transferred to the institution directly from an institution governed by the </w:t>
            </w:r>
            <w:r w:rsidR="00CF0443">
              <w:rPr>
                <w:rFonts w:cstheme="minorHAnsi"/>
                <w:sz w:val="24"/>
                <w:szCs w:val="24"/>
              </w:rPr>
              <w:t>State Board of Community Colleges and Occupational Education</w:t>
            </w:r>
            <w:r w:rsidRPr="006B6CDA">
              <w:rPr>
                <w:rFonts w:cstheme="minorHAnsi"/>
                <w:sz w:val="24"/>
                <w:szCs w:val="24"/>
              </w:rPr>
              <w:t xml:space="preserve">; </w:t>
            </w:r>
          </w:p>
          <w:p w14:paraId="17A6B5BF" w14:textId="66B0E056" w:rsidR="009930B0" w:rsidRPr="006B6CDA" w:rsidRDefault="007A6AAA" w:rsidP="000C7F5B">
            <w:pPr>
              <w:ind w:right="165" w:firstLine="720"/>
              <w:rPr>
                <w:rFonts w:cstheme="minorHAnsi"/>
                <w:sz w:val="24"/>
                <w:szCs w:val="24"/>
              </w:rPr>
            </w:pPr>
            <w:r w:rsidRPr="006B6CDA">
              <w:rPr>
                <w:rFonts w:cstheme="minorHAnsi"/>
                <w:sz w:val="24"/>
                <w:szCs w:val="24"/>
              </w:rPr>
              <w:t xml:space="preserve">(ii) not have been enrolled in the institution for at least two consecutive semesters; and </w:t>
            </w:r>
          </w:p>
          <w:p w14:paraId="7197216C" w14:textId="755501E9" w:rsidR="009930B0" w:rsidRPr="006B6CDA" w:rsidRDefault="007A6AAA" w:rsidP="000C7F5B">
            <w:pPr>
              <w:ind w:right="165" w:firstLine="720"/>
              <w:rPr>
                <w:rFonts w:cstheme="minorHAnsi"/>
                <w:sz w:val="24"/>
                <w:szCs w:val="24"/>
              </w:rPr>
            </w:pPr>
            <w:r w:rsidRPr="006B6CDA">
              <w:rPr>
                <w:rFonts w:cstheme="minorHAnsi"/>
                <w:sz w:val="24"/>
                <w:szCs w:val="24"/>
              </w:rPr>
              <w:t xml:space="preserve">(iii) have earned at least seventy credit hours, which credits must include completion of the institution's general education CORE course requirements and completion of all other courses required for an associate degree program approved by the Commission. </w:t>
            </w:r>
          </w:p>
          <w:p w14:paraId="5E449F20" w14:textId="77777777" w:rsidR="009930B0" w:rsidRDefault="007A6AAA" w:rsidP="000C7F5B">
            <w:pPr>
              <w:ind w:right="165" w:firstLine="720"/>
              <w:rPr>
                <w:rFonts w:cstheme="minorHAnsi"/>
                <w:sz w:val="24"/>
                <w:szCs w:val="24"/>
              </w:rPr>
            </w:pPr>
            <w:r w:rsidRPr="006B6CDA">
              <w:rPr>
                <w:rFonts w:cstheme="minorHAnsi"/>
                <w:sz w:val="24"/>
                <w:szCs w:val="24"/>
              </w:rPr>
              <w:t xml:space="preserve">(b) notwithstanding any provision of this section to the contrary, a student who is eligible to receive an associate degree through a program authorized in section 23-1-131 is not eligible to receive an associate degree through the CORE initiative. </w:t>
            </w:r>
          </w:p>
          <w:p w14:paraId="28A942D2" w14:textId="402B756D" w:rsidR="006B6CDA" w:rsidRPr="006B6CDA" w:rsidRDefault="006B6CDA" w:rsidP="000C7F5B">
            <w:pPr>
              <w:ind w:right="165" w:firstLine="720"/>
              <w:rPr>
                <w:rFonts w:cstheme="minorHAnsi"/>
                <w:sz w:val="24"/>
                <w:szCs w:val="24"/>
              </w:rPr>
            </w:pPr>
          </w:p>
        </w:tc>
        <w:tc>
          <w:tcPr>
            <w:tcW w:w="360" w:type="dxa"/>
            <w:tcBorders>
              <w:top w:val="nil"/>
              <w:left w:val="nil"/>
              <w:bottom w:val="nil"/>
              <w:right w:val="nil"/>
            </w:tcBorders>
            <w:shd w:val="clear" w:color="auto" w:fill="336600"/>
            <w:textDirection w:val="tbRl"/>
            <w:vAlign w:val="center"/>
          </w:tcPr>
          <w:p w14:paraId="00754670" w14:textId="70C2DA06" w:rsidR="009930B0" w:rsidRPr="000C7F5B" w:rsidRDefault="00E07713" w:rsidP="00E07713">
            <w:pPr>
              <w:ind w:left="113" w:right="113"/>
              <w:jc w:val="center"/>
              <w:rPr>
                <w:rFonts w:ascii="Century Gothic" w:hAnsi="Century Gothic"/>
                <w:b/>
                <w:bCs/>
                <w:color w:val="FFFFFF" w:themeColor="background1"/>
                <w:highlight w:val="darkGreen"/>
                <w:shd w:val="clear" w:color="auto" w:fill="FFFFFF"/>
              </w:rPr>
            </w:pPr>
            <w:r w:rsidRPr="000C7F5B">
              <w:rPr>
                <w:rFonts w:ascii="Century Gothic" w:hAnsi="Century Gothic"/>
                <w:b/>
                <w:bCs/>
                <w:color w:val="FFFFFF" w:themeColor="background1"/>
                <w:highlight w:val="darkGreen"/>
                <w:shd w:val="clear" w:color="auto" w:fill="FFFFFF"/>
              </w:rPr>
              <w:t>Student Eligibility</w:t>
            </w:r>
          </w:p>
        </w:tc>
        <w:tc>
          <w:tcPr>
            <w:tcW w:w="1260" w:type="dxa"/>
            <w:tcBorders>
              <w:top w:val="nil"/>
              <w:left w:val="nil"/>
              <w:bottom w:val="nil"/>
              <w:right w:val="nil"/>
            </w:tcBorders>
          </w:tcPr>
          <w:p w14:paraId="2E1BE97E" w14:textId="77777777" w:rsidR="009930B0" w:rsidRPr="00457E57" w:rsidRDefault="009930B0">
            <w:pPr>
              <w:rPr>
                <w:color w:val="282924"/>
                <w:sz w:val="20"/>
                <w:szCs w:val="20"/>
                <w:shd w:val="clear" w:color="auto" w:fill="FFFFFF"/>
              </w:rPr>
            </w:pPr>
          </w:p>
        </w:tc>
      </w:tr>
      <w:tr w:rsidR="00E63A2B" w14:paraId="458387CD" w14:textId="77777777" w:rsidTr="000C7F5B">
        <w:trPr>
          <w:cantSplit/>
          <w:trHeight w:val="1134"/>
        </w:trPr>
        <w:tc>
          <w:tcPr>
            <w:tcW w:w="7740" w:type="dxa"/>
            <w:tcBorders>
              <w:top w:val="nil"/>
              <w:left w:val="nil"/>
              <w:bottom w:val="nil"/>
              <w:right w:val="nil"/>
            </w:tcBorders>
          </w:tcPr>
          <w:p w14:paraId="25C3DB7D" w14:textId="5011EB8A" w:rsidR="009930B0" w:rsidRPr="006B6CDA" w:rsidRDefault="007A6AAA" w:rsidP="000C7F5B">
            <w:pPr>
              <w:ind w:right="165" w:firstLine="720"/>
              <w:rPr>
                <w:rFonts w:cstheme="minorHAnsi"/>
                <w:sz w:val="24"/>
                <w:szCs w:val="24"/>
              </w:rPr>
            </w:pPr>
            <w:r w:rsidRPr="006B6CDA">
              <w:rPr>
                <w:rFonts w:cstheme="minorHAnsi"/>
                <w:sz w:val="24"/>
                <w:szCs w:val="24"/>
              </w:rPr>
              <w:lastRenderedPageBreak/>
              <w:t xml:space="preserve">(6) each institution that chooses to participate in the CORE initiative shall, by </w:t>
            </w:r>
            <w:r w:rsidR="006B6CDA" w:rsidRPr="006B6CDA">
              <w:rPr>
                <w:rFonts w:cstheme="minorHAnsi"/>
                <w:sz w:val="24"/>
                <w:szCs w:val="24"/>
              </w:rPr>
              <w:t>A</w:t>
            </w:r>
            <w:r w:rsidRPr="006B6CDA">
              <w:rPr>
                <w:rFonts w:cstheme="minorHAnsi"/>
                <w:sz w:val="24"/>
                <w:szCs w:val="24"/>
              </w:rPr>
              <w:t xml:space="preserve">ugust 1, 2022, and by </w:t>
            </w:r>
            <w:r w:rsidR="006B6CDA" w:rsidRPr="006B6CDA">
              <w:rPr>
                <w:rFonts w:cstheme="minorHAnsi"/>
                <w:sz w:val="24"/>
                <w:szCs w:val="24"/>
              </w:rPr>
              <w:t>A</w:t>
            </w:r>
            <w:r w:rsidRPr="006B6CDA">
              <w:rPr>
                <w:rFonts w:cstheme="minorHAnsi"/>
                <w:sz w:val="24"/>
                <w:szCs w:val="24"/>
              </w:rPr>
              <w:t>ugust 1 each year thereafter, report to the department the number of eligible students to whom the institution awarded an associate degree through the CORE initiative, the types of associate degrees awarded through the CORE initiative, and the number of students who re-enrolled in the institution after receiving an associate degree through the CORE initiative. the department shall review and compile the annual reports and, by January 15, 2025, submit to the education committees of the senate and the house of representatives, or any successor committees, a report concerning implementation of the CORE initiative, including, to the extent discernable, the degree to which students who receive associate degrees through the CORE initiative re-enroll in an institution to complete a baccalaureate degree. the department may also include in the report recommendations for changes to the CORE initiative, including recommendations for incentives to encourage institutions to participate in the CORE initiative.</w:t>
            </w:r>
          </w:p>
          <w:p w14:paraId="4C7CBC56" w14:textId="77777777" w:rsidR="009930B0" w:rsidRPr="006B6CDA" w:rsidRDefault="009930B0">
            <w:pPr>
              <w:rPr>
                <w:color w:val="282924"/>
                <w:sz w:val="24"/>
                <w:szCs w:val="24"/>
                <w:shd w:val="clear" w:color="auto" w:fill="FFFFFF"/>
              </w:rPr>
            </w:pPr>
          </w:p>
        </w:tc>
        <w:tc>
          <w:tcPr>
            <w:tcW w:w="360" w:type="dxa"/>
            <w:tcBorders>
              <w:top w:val="nil"/>
              <w:left w:val="nil"/>
              <w:bottom w:val="nil"/>
              <w:right w:val="nil"/>
            </w:tcBorders>
            <w:shd w:val="clear" w:color="auto" w:fill="FF00FF"/>
            <w:textDirection w:val="tbRl"/>
            <w:vAlign w:val="center"/>
          </w:tcPr>
          <w:p w14:paraId="685208C8" w14:textId="02619753" w:rsidR="009930B0" w:rsidRPr="000C7F5B" w:rsidRDefault="00D54E4F" w:rsidP="00E07713">
            <w:pPr>
              <w:ind w:left="113" w:right="113"/>
              <w:jc w:val="center"/>
              <w:rPr>
                <w:rFonts w:ascii="Century Gothic" w:hAnsi="Century Gothic"/>
                <w:b/>
                <w:bCs/>
                <w:color w:val="282924"/>
                <w:highlight w:val="magenta"/>
                <w:shd w:val="clear" w:color="auto" w:fill="FFFFFF"/>
              </w:rPr>
            </w:pPr>
            <w:r w:rsidRPr="000C7F5B">
              <w:rPr>
                <w:rFonts w:ascii="Century Gothic" w:hAnsi="Century Gothic"/>
                <w:b/>
                <w:bCs/>
                <w:color w:val="282924"/>
                <w:highlight w:val="magenta"/>
                <w:shd w:val="clear" w:color="auto" w:fill="FFFFFF"/>
              </w:rPr>
              <w:t>Reporting Requirements</w:t>
            </w:r>
          </w:p>
        </w:tc>
        <w:tc>
          <w:tcPr>
            <w:tcW w:w="1260" w:type="dxa"/>
            <w:tcBorders>
              <w:top w:val="nil"/>
              <w:left w:val="nil"/>
              <w:bottom w:val="nil"/>
              <w:right w:val="nil"/>
            </w:tcBorders>
          </w:tcPr>
          <w:p w14:paraId="2E27BCD2" w14:textId="77777777" w:rsidR="009930B0" w:rsidRPr="00457E57" w:rsidRDefault="009930B0">
            <w:pPr>
              <w:rPr>
                <w:color w:val="282924"/>
                <w:sz w:val="20"/>
                <w:szCs w:val="20"/>
                <w:shd w:val="clear" w:color="auto" w:fill="FFFFFF"/>
              </w:rPr>
            </w:pPr>
          </w:p>
        </w:tc>
      </w:tr>
    </w:tbl>
    <w:p w14:paraId="1316A667" w14:textId="6A31432D" w:rsidR="00361DFA" w:rsidRDefault="00361DFA">
      <w:pPr>
        <w:rPr>
          <w:color w:val="282924"/>
          <w:sz w:val="27"/>
          <w:szCs w:val="27"/>
          <w:shd w:val="clear" w:color="auto" w:fill="FFFFFF"/>
        </w:rPr>
      </w:pPr>
    </w:p>
    <w:p w14:paraId="7EEB0C55" w14:textId="1A4503CE" w:rsidR="00353311" w:rsidRDefault="00353311">
      <w:pPr>
        <w:rPr>
          <w:color w:val="282924"/>
          <w:sz w:val="27"/>
          <w:szCs w:val="27"/>
          <w:shd w:val="clear" w:color="auto" w:fill="FFFFFF"/>
        </w:rPr>
      </w:pPr>
    </w:p>
    <w:p w14:paraId="04343764" w14:textId="4ABC07B2" w:rsidR="00353311" w:rsidRPr="00353311" w:rsidRDefault="00077374">
      <w:pPr>
        <w:rPr>
          <w:color w:val="282924"/>
          <w:sz w:val="28"/>
          <w:szCs w:val="28"/>
          <w:shd w:val="clear" w:color="auto" w:fill="FFFFFF"/>
        </w:rPr>
      </w:pPr>
      <w:hyperlink r:id="rId4" w:history="1">
        <w:r w:rsidR="007A6AAA">
          <w:rPr>
            <w:rStyle w:val="Hyperlink"/>
            <w:sz w:val="28"/>
            <w:szCs w:val="28"/>
            <w:shd w:val="clear" w:color="auto" w:fill="FFFFFF"/>
          </w:rPr>
          <w:t>CORE</w:t>
        </w:r>
        <w:r w:rsidR="00353311" w:rsidRPr="00353311">
          <w:rPr>
            <w:rStyle w:val="Hyperlink"/>
            <w:sz w:val="28"/>
            <w:szCs w:val="28"/>
            <w:shd w:val="clear" w:color="auto" w:fill="FFFFFF"/>
          </w:rPr>
          <w:t xml:space="preserve"> fact sheet from CDHE</w:t>
        </w:r>
      </w:hyperlink>
    </w:p>
    <w:p w14:paraId="79B35CEF" w14:textId="6C498565" w:rsidR="00353311" w:rsidRPr="00353311" w:rsidRDefault="00077374">
      <w:pPr>
        <w:rPr>
          <w:color w:val="282924"/>
          <w:sz w:val="28"/>
          <w:szCs w:val="28"/>
          <w:shd w:val="clear" w:color="auto" w:fill="FFFFFF"/>
        </w:rPr>
      </w:pPr>
      <w:hyperlink r:id="rId5" w:history="1">
        <w:r w:rsidR="00353311" w:rsidRPr="00353311">
          <w:rPr>
            <w:rStyle w:val="Hyperlink"/>
            <w:sz w:val="28"/>
            <w:szCs w:val="28"/>
            <w:shd w:val="clear" w:color="auto" w:fill="FFFFFF"/>
          </w:rPr>
          <w:t>Full HB21-1330 Bill as approved</w:t>
        </w:r>
      </w:hyperlink>
    </w:p>
    <w:sectPr w:rsidR="00353311" w:rsidRPr="00353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FA"/>
    <w:rsid w:val="00077374"/>
    <w:rsid w:val="000A74B8"/>
    <w:rsid w:val="000C7F5B"/>
    <w:rsid w:val="00175A70"/>
    <w:rsid w:val="00242378"/>
    <w:rsid w:val="00265709"/>
    <w:rsid w:val="0027004A"/>
    <w:rsid w:val="00353311"/>
    <w:rsid w:val="00361DFA"/>
    <w:rsid w:val="003A7B18"/>
    <w:rsid w:val="00457E57"/>
    <w:rsid w:val="006B4109"/>
    <w:rsid w:val="006B6CDA"/>
    <w:rsid w:val="00752C7F"/>
    <w:rsid w:val="007A6AAA"/>
    <w:rsid w:val="00812360"/>
    <w:rsid w:val="008B092E"/>
    <w:rsid w:val="008B133D"/>
    <w:rsid w:val="009930B0"/>
    <w:rsid w:val="009F65BC"/>
    <w:rsid w:val="00A515CF"/>
    <w:rsid w:val="00AC11EC"/>
    <w:rsid w:val="00B8469C"/>
    <w:rsid w:val="00BA1C1E"/>
    <w:rsid w:val="00CF0443"/>
    <w:rsid w:val="00D20ABB"/>
    <w:rsid w:val="00D54E4F"/>
    <w:rsid w:val="00D71984"/>
    <w:rsid w:val="00DD4288"/>
    <w:rsid w:val="00E07713"/>
    <w:rsid w:val="00E63A2B"/>
    <w:rsid w:val="00E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09DD"/>
  <w15:chartTrackingRefBased/>
  <w15:docId w15:val="{50C3A085-A6C3-4B50-9A61-DC37B2AC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311"/>
    <w:rPr>
      <w:color w:val="0563C1" w:themeColor="hyperlink"/>
      <w:u w:val="single"/>
    </w:rPr>
  </w:style>
  <w:style w:type="character" w:styleId="UnresolvedMention">
    <w:name w:val="Unresolved Mention"/>
    <w:basedOn w:val="DefaultParagraphFont"/>
    <w:uiPriority w:val="99"/>
    <w:semiHidden/>
    <w:unhideWhenUsed/>
    <w:rsid w:val="00353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colorado.gov/sites/default/files/2021a_1330_signed.pdf" TargetMode="External"/><Relationship Id="rId4" Type="http://schemas.openxmlformats.org/officeDocument/2006/relationships/hyperlink" Target="https://cdhe.colorado.gov/sites/highered/files/CORE%20Initiative%20Fact%20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Fritz</dc:creator>
  <cp:keywords/>
  <dc:description/>
  <cp:lastModifiedBy>Peter Fritz</cp:lastModifiedBy>
  <cp:revision>2</cp:revision>
  <dcterms:created xsi:type="dcterms:W3CDTF">2022-02-09T21:48:00Z</dcterms:created>
  <dcterms:modified xsi:type="dcterms:W3CDTF">2022-02-09T21:48:00Z</dcterms:modified>
</cp:coreProperties>
</file>