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37F6810C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E55596">
              <w:rPr>
                <w:rFonts w:ascii="Arial" w:hAnsi="Arial" w:cs="Arial"/>
                <w:b/>
                <w:bCs/>
              </w:rPr>
              <w:t>February 24</w:t>
            </w:r>
            <w:r w:rsidR="0062403A">
              <w:rPr>
                <w:rFonts w:ascii="Arial" w:hAnsi="Arial" w:cs="Arial"/>
                <w:b/>
                <w:bCs/>
              </w:rPr>
              <w:t>, 2025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37CF31CA" w:rsidR="00A412ED" w:rsidRPr="00A412ED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76D853B3" w14:textId="77777777" w:rsidR="00E55596" w:rsidRPr="00E55596" w:rsidRDefault="00E55596" w:rsidP="00E55596">
            <w:pPr>
              <w:pStyle w:val="Informal2"/>
              <w:rPr>
                <w:b w:val="0"/>
                <w:bCs w:val="0"/>
              </w:rPr>
            </w:pPr>
            <w:r w:rsidRPr="00E55596">
              <w:rPr>
                <w:b w:val="0"/>
                <w:bCs w:val="0"/>
              </w:rPr>
              <w:t>Meeting ID: 847 2475 3514</w:t>
            </w:r>
          </w:p>
          <w:p w14:paraId="4BE914F2" w14:textId="6F800187" w:rsidR="00B34E8A" w:rsidRPr="008357B0" w:rsidRDefault="00E55596" w:rsidP="00272F68">
            <w:pPr>
              <w:pStyle w:val="Informal2"/>
            </w:pPr>
            <w:r w:rsidRPr="00E55596">
              <w:rPr>
                <w:b w:val="0"/>
                <w:bCs w:val="0"/>
              </w:rPr>
              <w:t>Passcode: 103109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2B1B26" w:rsidRDefault="00C60FD9" w:rsidP="00D03033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18AD9C12" w:rsidR="00D03033" w:rsidRPr="002B1B26" w:rsidRDefault="00C60FD9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D4526B2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1036CA86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proofErr w:type="gramStart"/>
      <w:r w:rsidR="00B6223D" w:rsidRPr="002B1B26">
        <w:t>Approve</w:t>
      </w:r>
      <w:proofErr w:type="gramEnd"/>
      <w:r w:rsidR="00B6223D" w:rsidRPr="002B1B26">
        <w:t xml:space="preserve"> notes from</w:t>
      </w:r>
      <w:r w:rsidR="00562EE8">
        <w:t xml:space="preserve"> </w:t>
      </w:r>
      <w:r w:rsidR="00BA54C6">
        <w:rPr>
          <w:u w:val="single"/>
        </w:rPr>
        <w:t>January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7D4F7514" w14:textId="6D4976F2" w:rsidR="009B30C5" w:rsidRPr="00C241AA" w:rsidRDefault="00925DAC" w:rsidP="0017148C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  <w:bookmarkStart w:id="2" w:name="_Hlk93390637"/>
    </w:p>
    <w:p w14:paraId="0C61D6E2" w14:textId="64B6AAED" w:rsidR="0063501D" w:rsidRPr="00267EE5" w:rsidRDefault="008C2AD7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Discussion regarding the </w:t>
      </w:r>
      <w:r w:rsidRPr="008C2AD7">
        <w:rPr>
          <w:rFonts w:ascii="Arial" w:hAnsi="Arial" w:cs="Arial"/>
          <w:color w:val="4F6228" w:themeColor="accent3" w:themeShade="80"/>
          <w:sz w:val="24"/>
          <w:szCs w:val="24"/>
        </w:rPr>
        <w:t>Postsecondary pathways for student success panel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from last meeting – your take-aways and what other questions do you have?</w:t>
      </w:r>
    </w:p>
    <w:p w14:paraId="2895185C" w14:textId="7AD43C16" w:rsidR="008D167F" w:rsidRPr="00267EE5" w:rsidRDefault="008D167F" w:rsidP="00267EE5">
      <w:pPr>
        <w:ind w:left="2880" w:firstLine="7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4A352E37" w14:textId="77777777" w:rsidR="008B4D84" w:rsidRPr="001B7387" w:rsidRDefault="008B4D84" w:rsidP="001B7387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5E994A6" w14:textId="36650EA3" w:rsidR="0081014D" w:rsidRPr="00C241AA" w:rsidRDefault="00177550" w:rsidP="00C241AA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2BEB65DC" w14:textId="6A90B55B" w:rsidR="00077AAD" w:rsidRPr="00FD67BD" w:rsidRDefault="00077AAD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Proposed Revisions to CCHE Policy I, Part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: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Statewide Transfer and GT Pathways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Policy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 xml:space="preserve"> (Notification of Transfer Credit</w:t>
      </w:r>
      <w:r w:rsidR="002B6311">
        <w:rPr>
          <w:rFonts w:ascii="Arial" w:hAnsi="Arial" w:cs="Arial"/>
          <w:color w:val="4F6228" w:themeColor="accent3" w:themeShade="80"/>
          <w:sz w:val="24"/>
          <w:szCs w:val="24"/>
        </w:rPr>
        <w:t xml:space="preserve"> - attachment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4C977448" w14:textId="4F5035F0" w:rsidR="0072761C" w:rsidRDefault="00FD67BD" w:rsidP="006E1CAF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Carl Einhaus, Chief Student Success and Academic Affairs Officer</w:t>
      </w:r>
      <w:r w:rsidR="008C2AD7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Christina Carrillo, Academic Policy Officer and Advocate, and Liliana Diaz, Senior Director of Student Success &amp; P20 Alignment</w:t>
      </w:r>
    </w:p>
    <w:p w14:paraId="2BC6EB68" w14:textId="77777777" w:rsidR="008C2AD7" w:rsidRDefault="008C2AD7" w:rsidP="008C2AD7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44F1FFC9" w14:textId="7CE3AD60" w:rsidR="008C2AD7" w:rsidRPr="008C2AD7" w:rsidRDefault="008C2AD7" w:rsidP="008C2AD7">
      <w:pPr>
        <w:pStyle w:val="ListParagraph"/>
        <w:numPr>
          <w:ilvl w:val="0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8C2AD7">
        <w:rPr>
          <w:rFonts w:ascii="Arial" w:hAnsi="Arial" w:cs="Arial"/>
          <w:color w:val="4F6228" w:themeColor="accent3" w:themeShade="80"/>
          <w:sz w:val="24"/>
          <w:szCs w:val="24"/>
        </w:rPr>
        <w:t>Updates on the following bills:</w:t>
      </w:r>
    </w:p>
    <w:p w14:paraId="3AACB9FB" w14:textId="04D39167" w:rsidR="008C2AD7" w:rsidRPr="008C2AD7" w:rsidRDefault="008C2AD7" w:rsidP="008C2AD7">
      <w:pPr>
        <w:pStyle w:val="ListParagraph"/>
        <w:numPr>
          <w:ilvl w:val="1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hyperlink r:id="rId9" w:history="1">
        <w:r w:rsidRPr="008C2AD7">
          <w:rPr>
            <w:rStyle w:val="Hyperlink"/>
            <w:rFonts w:ascii="Arial" w:hAnsi="Arial" w:cs="Arial"/>
            <w:sz w:val="24"/>
            <w:szCs w:val="24"/>
          </w:rPr>
          <w:t>HB25-1186</w:t>
        </w:r>
      </w:hyperlink>
      <w:r w:rsidRPr="008C2AD7">
        <w:rPr>
          <w:rFonts w:ascii="Arial" w:hAnsi="Arial" w:cs="Arial"/>
          <w:color w:val="4F6228" w:themeColor="accent3" w:themeShade="80"/>
          <w:sz w:val="24"/>
          <w:szCs w:val="24"/>
        </w:rPr>
        <w:t>: Work-Based Learning Experiences in Higher Education</w:t>
      </w:r>
    </w:p>
    <w:p w14:paraId="4BB1A078" w14:textId="281E4B9B" w:rsidR="008C2AD7" w:rsidRPr="008C2AD7" w:rsidRDefault="008C2AD7" w:rsidP="008C2AD7">
      <w:pPr>
        <w:pStyle w:val="ListParagraph"/>
        <w:numPr>
          <w:ilvl w:val="1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hyperlink r:id="rId10" w:history="1">
        <w:r w:rsidRPr="008C2AD7">
          <w:rPr>
            <w:rStyle w:val="Hyperlink"/>
            <w:rFonts w:ascii="Arial" w:hAnsi="Arial" w:cs="Arial"/>
            <w:sz w:val="24"/>
            <w:szCs w:val="24"/>
          </w:rPr>
          <w:t>HB25-1038</w:t>
        </w:r>
      </w:hyperlink>
      <w:r w:rsidRPr="008C2AD7">
        <w:rPr>
          <w:rFonts w:ascii="Arial" w:hAnsi="Arial" w:cs="Arial"/>
          <w:color w:val="4F6228" w:themeColor="accent3" w:themeShade="80"/>
          <w:sz w:val="24"/>
          <w:szCs w:val="24"/>
        </w:rPr>
        <w:t>: Postsecondary Credit Transfer Website</w:t>
      </w: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467E9C8E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proofErr w:type="gramStart"/>
      <w:r w:rsidRPr="002B1B26">
        <w:tab/>
      </w:r>
      <w:r w:rsidR="00272F68">
        <w:t xml:space="preserve">  </w:t>
      </w:r>
      <w:r w:rsidR="006A14D8" w:rsidRPr="00D92EDC">
        <w:t>Monday</w:t>
      </w:r>
      <w:proofErr w:type="gramEnd"/>
      <w:r w:rsidR="006A14D8" w:rsidRPr="00D92EDC">
        <w:t>,</w:t>
      </w:r>
      <w:r w:rsidR="00EB12FF" w:rsidRPr="00D92EDC">
        <w:t xml:space="preserve"> </w:t>
      </w:r>
      <w:r w:rsidR="00BA54C6">
        <w:t>March</w:t>
      </w:r>
      <w:r w:rsidR="00F3565C">
        <w:t xml:space="preserve"> 24</w:t>
      </w:r>
      <w:r w:rsidR="00440439">
        <w:t>, 2025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Default="00272F68">
      <w:pPr>
        <w:rPr>
          <w:rFonts w:ascii="Arial" w:hAnsi="Arial" w:cs="Arial"/>
        </w:rPr>
      </w:pPr>
    </w:p>
    <w:p w14:paraId="405D1613" w14:textId="77777777" w:rsidR="004464BF" w:rsidRDefault="004464BF">
      <w:pPr>
        <w:rPr>
          <w:rFonts w:ascii="Arial" w:hAnsi="Arial" w:cs="Arial"/>
        </w:rPr>
      </w:pPr>
    </w:p>
    <w:p w14:paraId="6DB4BC30" w14:textId="77777777" w:rsidR="004464BF" w:rsidRPr="002B1B26" w:rsidRDefault="004464BF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lastRenderedPageBreak/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69E870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AAD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0FA0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661B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4BF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0D12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2AD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4C6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6C42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272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5596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4724753514?pwd=8ZVDXxxQtICrEVDKxnY9eApkClDJxa.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eg.colorado.gov/bills/hb25-1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.colorado.gov/bills/hb25-118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6</cp:revision>
  <cp:lastPrinted>2021-03-26T16:04:00Z</cp:lastPrinted>
  <dcterms:created xsi:type="dcterms:W3CDTF">2025-02-10T16:25:00Z</dcterms:created>
  <dcterms:modified xsi:type="dcterms:W3CDTF">2025-02-19T22:46:00Z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